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75211">
      <w:pPr>
        <w:pStyle w:val="3"/>
        <w:shd w:val="clear"/>
        <w:spacing w:line="304" w:lineRule="auto"/>
        <w:rPr>
          <w:rFonts w:hint="eastAsia" w:ascii="仿宋" w:hAnsi="仿宋" w:eastAsia="仿宋" w:cs="仿宋"/>
          <w:color w:val="auto"/>
          <w:highlight w:val="none"/>
        </w:rPr>
      </w:pPr>
    </w:p>
    <w:p w14:paraId="6B7C9EEF">
      <w:pPr>
        <w:pStyle w:val="3"/>
        <w:shd w:val="clear"/>
        <w:spacing w:line="304" w:lineRule="auto"/>
        <w:rPr>
          <w:rFonts w:hint="eastAsia" w:ascii="仿宋" w:hAnsi="仿宋" w:eastAsia="仿宋" w:cs="仿宋"/>
          <w:color w:val="auto"/>
          <w:highlight w:val="none"/>
        </w:rPr>
      </w:pPr>
    </w:p>
    <w:p w14:paraId="7C2167B4">
      <w:pPr>
        <w:pStyle w:val="3"/>
        <w:shd w:val="clear"/>
        <w:spacing w:line="305" w:lineRule="auto"/>
        <w:rPr>
          <w:rFonts w:hint="eastAsia" w:ascii="仿宋" w:hAnsi="仿宋" w:eastAsia="仿宋" w:cs="仿宋"/>
          <w:color w:val="auto"/>
          <w:highlight w:val="none"/>
        </w:rPr>
      </w:pPr>
    </w:p>
    <w:p w14:paraId="593881E5">
      <w:pPr>
        <w:pStyle w:val="3"/>
        <w:shd w:val="clear"/>
        <w:spacing w:line="305" w:lineRule="auto"/>
        <w:rPr>
          <w:rFonts w:hint="eastAsia" w:ascii="仿宋" w:hAnsi="仿宋" w:eastAsia="仿宋" w:cs="仿宋"/>
          <w:color w:val="auto"/>
          <w:highlight w:val="none"/>
        </w:rPr>
      </w:pPr>
    </w:p>
    <w:p w14:paraId="74A5B31D">
      <w:pPr>
        <w:pStyle w:val="3"/>
        <w:shd w:val="clear"/>
        <w:spacing w:line="305" w:lineRule="auto"/>
        <w:rPr>
          <w:rFonts w:hint="eastAsia" w:ascii="仿宋" w:hAnsi="仿宋" w:eastAsia="仿宋" w:cs="仿宋"/>
          <w:color w:val="auto"/>
          <w:highlight w:val="none"/>
        </w:rPr>
      </w:pPr>
    </w:p>
    <w:p w14:paraId="4DB7EEE7">
      <w:pPr>
        <w:pStyle w:val="3"/>
        <w:shd w:val="clear"/>
        <w:spacing w:line="305" w:lineRule="auto"/>
        <w:rPr>
          <w:rFonts w:hint="eastAsia" w:ascii="仿宋" w:hAnsi="仿宋" w:eastAsia="仿宋" w:cs="仿宋"/>
          <w:color w:val="auto"/>
          <w:highlight w:val="none"/>
        </w:rPr>
      </w:pPr>
    </w:p>
    <w:p w14:paraId="3A61B3CA">
      <w:pPr>
        <w:pStyle w:val="3"/>
        <w:shd w:val="clear"/>
        <w:spacing w:line="305" w:lineRule="auto"/>
        <w:rPr>
          <w:rFonts w:hint="eastAsia" w:ascii="仿宋" w:hAnsi="仿宋" w:eastAsia="仿宋" w:cs="仿宋"/>
          <w:color w:val="auto"/>
          <w:highlight w:val="none"/>
        </w:rPr>
      </w:pPr>
    </w:p>
    <w:p w14:paraId="70EB6509">
      <w:pPr>
        <w:pStyle w:val="3"/>
        <w:shd w:val="clear"/>
        <w:spacing w:line="305" w:lineRule="auto"/>
        <w:rPr>
          <w:rFonts w:hint="eastAsia" w:ascii="仿宋" w:hAnsi="仿宋" w:eastAsia="仿宋" w:cs="仿宋"/>
          <w:color w:val="auto"/>
          <w:highlight w:val="none"/>
        </w:rPr>
      </w:pPr>
    </w:p>
    <w:p w14:paraId="0E212890">
      <w:pPr>
        <w:shd w:val="clear"/>
        <w:spacing w:before="274"/>
        <w:jc w:val="center"/>
        <w:outlineLvl w:val="0"/>
        <w:rPr>
          <w:rFonts w:hint="eastAsia" w:ascii="仿宋" w:hAnsi="仿宋" w:eastAsia="仿宋" w:cs="仿宋"/>
          <w:color w:val="auto"/>
          <w:sz w:val="110"/>
          <w:szCs w:val="110"/>
          <w:highlight w:val="none"/>
        </w:rPr>
      </w:pPr>
      <w:bookmarkStart w:id="0" w:name="_Toc29379"/>
      <w:bookmarkStart w:id="1" w:name="_Toc23829"/>
      <w:r>
        <w:rPr>
          <w:rFonts w:hint="eastAsia" w:ascii="仿宋" w:hAnsi="仿宋" w:eastAsia="仿宋" w:cs="仿宋"/>
          <w:color w:val="auto"/>
          <w:spacing w:val="136"/>
          <w:sz w:val="110"/>
          <w:szCs w:val="110"/>
          <w:highlight w:val="none"/>
        </w:rPr>
        <w:t>征集文件</w:t>
      </w:r>
      <w:bookmarkEnd w:id="0"/>
      <w:bookmarkEnd w:id="1"/>
    </w:p>
    <w:p w14:paraId="18737DDF">
      <w:pPr>
        <w:pStyle w:val="3"/>
        <w:shd w:val="clear"/>
        <w:spacing w:line="263" w:lineRule="auto"/>
        <w:rPr>
          <w:rFonts w:hint="eastAsia" w:ascii="仿宋" w:hAnsi="仿宋" w:eastAsia="仿宋" w:cs="仿宋"/>
          <w:color w:val="auto"/>
          <w:highlight w:val="none"/>
        </w:rPr>
      </w:pPr>
    </w:p>
    <w:p w14:paraId="7FE9771F">
      <w:pPr>
        <w:shd w:val="clear"/>
        <w:spacing w:before="129" w:line="18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pacing w:val="-7"/>
          <w:sz w:val="30"/>
          <w:szCs w:val="30"/>
          <w:highlight w:val="none"/>
        </w:rPr>
        <w:t>（封闭式框架协议）</w:t>
      </w:r>
    </w:p>
    <w:p w14:paraId="0C6BB8CB">
      <w:pPr>
        <w:pStyle w:val="3"/>
        <w:shd w:val="clear"/>
        <w:spacing w:line="265" w:lineRule="auto"/>
        <w:rPr>
          <w:rFonts w:hint="eastAsia" w:ascii="仿宋" w:hAnsi="仿宋" w:eastAsia="仿宋" w:cs="仿宋"/>
          <w:color w:val="auto"/>
          <w:highlight w:val="none"/>
        </w:rPr>
      </w:pPr>
    </w:p>
    <w:p w14:paraId="73B377E5">
      <w:pPr>
        <w:pStyle w:val="3"/>
        <w:shd w:val="clear"/>
        <w:spacing w:line="265" w:lineRule="auto"/>
        <w:rPr>
          <w:rFonts w:hint="eastAsia" w:ascii="仿宋" w:hAnsi="仿宋" w:eastAsia="仿宋" w:cs="仿宋"/>
          <w:color w:val="auto"/>
          <w:highlight w:val="none"/>
        </w:rPr>
      </w:pPr>
    </w:p>
    <w:p w14:paraId="00FE0F6D">
      <w:pPr>
        <w:pStyle w:val="3"/>
        <w:shd w:val="clear"/>
        <w:spacing w:line="266" w:lineRule="auto"/>
        <w:rPr>
          <w:rFonts w:hint="eastAsia" w:ascii="仿宋" w:hAnsi="仿宋" w:eastAsia="仿宋" w:cs="仿宋"/>
          <w:color w:val="auto"/>
          <w:highlight w:val="none"/>
        </w:rPr>
      </w:pPr>
    </w:p>
    <w:p w14:paraId="2BC87A37">
      <w:pPr>
        <w:pStyle w:val="3"/>
        <w:shd w:val="clear"/>
        <w:spacing w:line="266" w:lineRule="auto"/>
        <w:rPr>
          <w:rFonts w:hint="eastAsia" w:ascii="仿宋" w:hAnsi="仿宋" w:eastAsia="仿宋" w:cs="仿宋"/>
          <w:color w:val="auto"/>
          <w:highlight w:val="none"/>
        </w:rPr>
      </w:pPr>
    </w:p>
    <w:p w14:paraId="761B4EB3">
      <w:pPr>
        <w:pStyle w:val="3"/>
        <w:shd w:val="clear"/>
        <w:spacing w:line="266" w:lineRule="auto"/>
        <w:rPr>
          <w:rFonts w:hint="eastAsia" w:ascii="仿宋" w:hAnsi="仿宋" w:eastAsia="仿宋" w:cs="仿宋"/>
          <w:color w:val="auto"/>
          <w:highlight w:val="none"/>
        </w:rPr>
      </w:pPr>
    </w:p>
    <w:p w14:paraId="5F6AC272">
      <w:pPr>
        <w:pStyle w:val="3"/>
        <w:shd w:val="clear"/>
        <w:spacing w:line="266" w:lineRule="auto"/>
        <w:rPr>
          <w:rFonts w:hint="eastAsia" w:ascii="仿宋" w:hAnsi="仿宋" w:eastAsia="仿宋" w:cs="仿宋"/>
          <w:color w:val="auto"/>
          <w:highlight w:val="none"/>
        </w:rPr>
      </w:pPr>
    </w:p>
    <w:p w14:paraId="5C9FF35F">
      <w:pPr>
        <w:pStyle w:val="3"/>
        <w:shd w:val="clear"/>
        <w:spacing w:line="266" w:lineRule="auto"/>
        <w:rPr>
          <w:rFonts w:hint="eastAsia" w:ascii="仿宋" w:hAnsi="仿宋" w:eastAsia="仿宋" w:cs="仿宋"/>
          <w:color w:val="auto"/>
          <w:highlight w:val="none"/>
        </w:rPr>
      </w:pPr>
    </w:p>
    <w:p w14:paraId="3FF5BF78">
      <w:pPr>
        <w:pStyle w:val="3"/>
        <w:shd w:val="clear"/>
        <w:spacing w:line="266" w:lineRule="auto"/>
        <w:rPr>
          <w:rFonts w:hint="eastAsia" w:ascii="仿宋" w:hAnsi="仿宋" w:eastAsia="仿宋" w:cs="仿宋"/>
          <w:color w:val="auto"/>
          <w:highlight w:val="none"/>
        </w:rPr>
      </w:pPr>
    </w:p>
    <w:p w14:paraId="1E565AC9">
      <w:pPr>
        <w:pStyle w:val="3"/>
        <w:shd w:val="clear"/>
        <w:spacing w:line="266" w:lineRule="auto"/>
        <w:rPr>
          <w:rFonts w:hint="eastAsia" w:ascii="仿宋" w:hAnsi="仿宋" w:eastAsia="仿宋" w:cs="仿宋"/>
          <w:color w:val="auto"/>
          <w:highlight w:val="none"/>
        </w:rPr>
      </w:pPr>
    </w:p>
    <w:p w14:paraId="3378640B">
      <w:pPr>
        <w:pStyle w:val="3"/>
        <w:shd w:val="clear"/>
        <w:spacing w:line="266" w:lineRule="auto"/>
        <w:rPr>
          <w:rFonts w:hint="eastAsia" w:ascii="仿宋" w:hAnsi="仿宋" w:eastAsia="仿宋" w:cs="仿宋"/>
          <w:color w:val="auto"/>
          <w:highlight w:val="none"/>
        </w:rPr>
      </w:pPr>
    </w:p>
    <w:p w14:paraId="5204070A">
      <w:pPr>
        <w:pStyle w:val="3"/>
        <w:shd w:val="clear"/>
        <w:spacing w:line="266" w:lineRule="auto"/>
        <w:rPr>
          <w:rFonts w:hint="eastAsia" w:ascii="仿宋" w:hAnsi="仿宋" w:eastAsia="仿宋" w:cs="仿宋"/>
          <w:color w:val="auto"/>
          <w:highlight w:val="none"/>
        </w:rPr>
      </w:pPr>
    </w:p>
    <w:p w14:paraId="5D040BA7">
      <w:pPr>
        <w:pStyle w:val="3"/>
        <w:shd w:val="clear"/>
        <w:spacing w:line="266" w:lineRule="auto"/>
        <w:rPr>
          <w:rFonts w:hint="eastAsia" w:ascii="仿宋" w:hAnsi="仿宋" w:eastAsia="仿宋" w:cs="仿宋"/>
          <w:color w:val="auto"/>
          <w:highlight w:val="none"/>
        </w:rPr>
      </w:pPr>
    </w:p>
    <w:p w14:paraId="031809B7">
      <w:pPr>
        <w:pStyle w:val="3"/>
        <w:shd w:val="clear"/>
        <w:spacing w:line="266" w:lineRule="auto"/>
        <w:rPr>
          <w:rFonts w:hint="eastAsia" w:ascii="仿宋" w:hAnsi="仿宋" w:eastAsia="仿宋" w:cs="仿宋"/>
          <w:color w:val="auto"/>
          <w:highlight w:val="none"/>
        </w:rPr>
      </w:pPr>
    </w:p>
    <w:p w14:paraId="2AD11126">
      <w:pPr>
        <w:pStyle w:val="3"/>
        <w:shd w:val="clear"/>
        <w:spacing w:line="266" w:lineRule="auto"/>
        <w:rPr>
          <w:rFonts w:hint="eastAsia" w:ascii="仿宋" w:hAnsi="仿宋" w:eastAsia="仿宋" w:cs="仿宋"/>
          <w:color w:val="auto"/>
          <w:highlight w:val="none"/>
        </w:rPr>
      </w:pPr>
    </w:p>
    <w:p w14:paraId="4309529A">
      <w:pPr>
        <w:pStyle w:val="3"/>
        <w:shd w:val="clear"/>
        <w:spacing w:line="266" w:lineRule="auto"/>
        <w:rPr>
          <w:rFonts w:hint="eastAsia" w:ascii="仿宋" w:hAnsi="仿宋" w:eastAsia="仿宋" w:cs="仿宋"/>
          <w:color w:val="auto"/>
          <w:highlight w:val="none"/>
        </w:rPr>
      </w:pPr>
    </w:p>
    <w:p w14:paraId="328E1728">
      <w:pPr>
        <w:pStyle w:val="3"/>
        <w:shd w:val="clear"/>
        <w:spacing w:line="266" w:lineRule="auto"/>
        <w:rPr>
          <w:rFonts w:hint="eastAsia" w:ascii="仿宋" w:hAnsi="仿宋" w:eastAsia="仿宋" w:cs="仿宋"/>
          <w:color w:val="auto"/>
          <w:sz w:val="30"/>
          <w:szCs w:val="30"/>
          <w:highlight w:val="none"/>
        </w:rPr>
      </w:pPr>
    </w:p>
    <w:p w14:paraId="3E914DE8">
      <w:pPr>
        <w:widowControl w:val="0"/>
        <w:shd w:val="clear"/>
        <w:kinsoku/>
        <w:autoSpaceDE/>
        <w:autoSpaceDN/>
        <w:adjustRightInd w:val="0"/>
        <w:snapToGrid w:val="0"/>
        <w:spacing w:before="54" w:beforeLines="20" w:after="54" w:afterLines="20" w:line="360" w:lineRule="auto"/>
        <w:ind w:right="15" w:rightChars="7"/>
        <w:jc w:val="left"/>
        <w:textAlignment w:val="auto"/>
        <w:rPr>
          <w:rFonts w:hint="eastAsia" w:ascii="仿宋" w:hAnsi="仿宋" w:eastAsia="仿宋" w:cs="仿宋"/>
          <w:b/>
          <w:bCs w:val="0"/>
          <w:snapToGrid/>
          <w:color w:val="auto"/>
          <w:kern w:val="2"/>
          <w:sz w:val="30"/>
          <w:szCs w:val="30"/>
          <w:highlight w:val="none"/>
          <w:lang w:eastAsia="zh-CN"/>
        </w:rPr>
      </w:pPr>
      <w:r>
        <w:rPr>
          <w:rFonts w:hint="eastAsia" w:ascii="仿宋" w:hAnsi="仿宋" w:eastAsia="仿宋" w:cs="仿宋"/>
          <w:b/>
          <w:bCs w:val="0"/>
          <w:snapToGrid/>
          <w:color w:val="auto"/>
          <w:kern w:val="2"/>
          <w:sz w:val="30"/>
          <w:szCs w:val="30"/>
          <w:highlight w:val="none"/>
          <w:lang w:eastAsia="zh-CN"/>
        </w:rPr>
        <w:t>项目名称：</w:t>
      </w:r>
      <w:r>
        <w:rPr>
          <w:rFonts w:hint="eastAsia" w:ascii="仿宋" w:hAnsi="仿宋" w:eastAsia="仿宋" w:cs="仿宋"/>
          <w:b/>
          <w:bCs w:val="0"/>
          <w:snapToGrid/>
          <w:color w:val="auto"/>
          <w:kern w:val="2"/>
          <w:sz w:val="30"/>
          <w:szCs w:val="30"/>
          <w:highlight w:val="none"/>
          <w:lang w:val="en-US" w:eastAsia="zh-CN"/>
        </w:rPr>
        <w:t>六安城市建设投资有限公司征集第三方咨询服务机构项目</w:t>
      </w:r>
      <w:r>
        <w:rPr>
          <w:rFonts w:hint="eastAsia" w:ascii="仿宋" w:hAnsi="仿宋" w:eastAsia="仿宋" w:cs="仿宋"/>
          <w:b/>
          <w:bCs w:val="0"/>
          <w:snapToGrid/>
          <w:color w:val="auto"/>
          <w:kern w:val="2"/>
          <w:sz w:val="30"/>
          <w:szCs w:val="30"/>
          <w:highlight w:val="none"/>
          <w:lang w:eastAsia="zh-CN"/>
        </w:rPr>
        <w:t>框架协议</w:t>
      </w:r>
    </w:p>
    <w:p w14:paraId="40CFE055">
      <w:pPr>
        <w:widowControl w:val="0"/>
        <w:shd w:val="clear"/>
        <w:kinsoku/>
        <w:autoSpaceDE/>
        <w:autoSpaceDN/>
        <w:adjustRightInd w:val="0"/>
        <w:snapToGrid w:val="0"/>
        <w:spacing w:before="54" w:beforeLines="20" w:after="54" w:afterLines="20" w:line="360" w:lineRule="auto"/>
        <w:ind w:right="15" w:rightChars="7"/>
        <w:jc w:val="left"/>
        <w:textAlignment w:val="auto"/>
        <w:rPr>
          <w:rFonts w:hint="eastAsia" w:ascii="仿宋" w:hAnsi="仿宋" w:eastAsia="仿宋" w:cs="仿宋"/>
          <w:b/>
          <w:bCs w:val="0"/>
          <w:snapToGrid/>
          <w:color w:val="auto"/>
          <w:kern w:val="2"/>
          <w:sz w:val="30"/>
          <w:szCs w:val="30"/>
          <w:highlight w:val="none"/>
          <w:lang w:eastAsia="zh-CN"/>
        </w:rPr>
      </w:pPr>
      <w:r>
        <w:rPr>
          <w:rFonts w:hint="eastAsia" w:ascii="仿宋" w:hAnsi="仿宋" w:eastAsia="仿宋" w:cs="仿宋"/>
          <w:b/>
          <w:bCs w:val="0"/>
          <w:snapToGrid/>
          <w:color w:val="auto"/>
          <w:kern w:val="2"/>
          <w:sz w:val="30"/>
          <w:szCs w:val="30"/>
          <w:highlight w:val="none"/>
          <w:lang w:eastAsia="zh-CN"/>
        </w:rPr>
        <w:t>征集人：</w:t>
      </w:r>
      <w:r>
        <w:rPr>
          <w:rFonts w:hint="eastAsia" w:ascii="仿宋" w:hAnsi="仿宋" w:eastAsia="仿宋" w:cs="仿宋"/>
          <w:b/>
          <w:bCs w:val="0"/>
          <w:snapToGrid/>
          <w:color w:val="auto"/>
          <w:kern w:val="2"/>
          <w:sz w:val="30"/>
          <w:szCs w:val="30"/>
          <w:highlight w:val="none"/>
          <w:lang w:val="en-US" w:eastAsia="zh-CN"/>
        </w:rPr>
        <w:t>六安城市建设投资有限公司</w:t>
      </w:r>
    </w:p>
    <w:p w14:paraId="28D6BF12">
      <w:pPr>
        <w:widowControl w:val="0"/>
        <w:shd w:val="clear"/>
        <w:kinsoku/>
        <w:autoSpaceDE/>
        <w:autoSpaceDN/>
        <w:adjustRightInd w:val="0"/>
        <w:snapToGrid w:val="0"/>
        <w:spacing w:before="54" w:beforeLines="20" w:after="54" w:afterLines="20" w:line="360" w:lineRule="auto"/>
        <w:ind w:right="15" w:rightChars="7"/>
        <w:jc w:val="both"/>
        <w:textAlignment w:val="auto"/>
        <w:rPr>
          <w:rFonts w:hint="eastAsia" w:ascii="仿宋" w:hAnsi="仿宋" w:eastAsia="仿宋" w:cs="仿宋"/>
          <w:b/>
          <w:bCs w:val="0"/>
          <w:snapToGrid/>
          <w:color w:val="auto"/>
          <w:kern w:val="2"/>
          <w:sz w:val="30"/>
          <w:szCs w:val="30"/>
          <w:highlight w:val="none"/>
          <w:lang w:eastAsia="zh-CN"/>
        </w:rPr>
      </w:pPr>
      <w:r>
        <w:rPr>
          <w:rFonts w:hint="eastAsia" w:ascii="仿宋" w:hAnsi="仿宋" w:eastAsia="仿宋" w:cs="仿宋"/>
          <w:b/>
          <w:bCs w:val="0"/>
          <w:snapToGrid/>
          <w:color w:val="auto"/>
          <w:kern w:val="2"/>
          <w:sz w:val="30"/>
          <w:szCs w:val="30"/>
          <w:highlight w:val="none"/>
          <w:lang w:val="en-US" w:eastAsia="zh-CN"/>
        </w:rPr>
        <w:t>日期：2025</w:t>
      </w:r>
      <w:r>
        <w:rPr>
          <w:rFonts w:hint="eastAsia" w:ascii="仿宋" w:hAnsi="仿宋" w:eastAsia="仿宋" w:cs="仿宋"/>
          <w:b/>
          <w:bCs w:val="0"/>
          <w:snapToGrid/>
          <w:color w:val="auto"/>
          <w:kern w:val="2"/>
          <w:sz w:val="30"/>
          <w:szCs w:val="30"/>
          <w:highlight w:val="none"/>
          <w:lang w:eastAsia="zh-CN"/>
        </w:rPr>
        <w:t>年</w:t>
      </w:r>
      <w:r>
        <w:rPr>
          <w:rFonts w:hint="eastAsia" w:ascii="仿宋" w:hAnsi="仿宋" w:eastAsia="仿宋" w:cs="仿宋"/>
          <w:b/>
          <w:bCs w:val="0"/>
          <w:snapToGrid/>
          <w:color w:val="auto"/>
          <w:kern w:val="2"/>
          <w:sz w:val="30"/>
          <w:szCs w:val="30"/>
          <w:highlight w:val="none"/>
          <w:lang w:val="en-US" w:eastAsia="zh-CN"/>
        </w:rPr>
        <w:t>5</w:t>
      </w:r>
      <w:r>
        <w:rPr>
          <w:rFonts w:hint="eastAsia" w:ascii="仿宋" w:hAnsi="仿宋" w:eastAsia="仿宋" w:cs="仿宋"/>
          <w:b/>
          <w:bCs w:val="0"/>
          <w:snapToGrid/>
          <w:color w:val="auto"/>
          <w:kern w:val="2"/>
          <w:sz w:val="30"/>
          <w:szCs w:val="30"/>
          <w:highlight w:val="none"/>
          <w:lang w:eastAsia="zh-CN"/>
        </w:rPr>
        <w:t>月</w:t>
      </w:r>
    </w:p>
    <w:p w14:paraId="520979DC">
      <w:pPr>
        <w:shd w:val="clear"/>
        <w:spacing w:line="220" w:lineRule="auto"/>
        <w:jc w:val="left"/>
        <w:rPr>
          <w:rFonts w:hint="eastAsia" w:ascii="仿宋" w:hAnsi="仿宋" w:eastAsia="仿宋" w:cs="仿宋"/>
          <w:color w:val="auto"/>
          <w:sz w:val="28"/>
          <w:szCs w:val="28"/>
          <w:highlight w:val="none"/>
        </w:rPr>
        <w:sectPr>
          <w:pgSz w:w="11906" w:h="16840"/>
          <w:pgMar w:top="1440" w:right="1080" w:bottom="1440" w:left="1080" w:header="0" w:footer="0" w:gutter="0"/>
          <w:cols w:space="0" w:num="1"/>
          <w:rtlGutter w:val="0"/>
          <w:docGrid w:linePitch="0" w:charSpace="0"/>
        </w:sectPr>
      </w:pPr>
    </w:p>
    <w:sdt>
      <w:sdtPr>
        <w:rPr>
          <w:rFonts w:ascii="宋体" w:hAnsi="宋体" w:eastAsia="宋体" w:cs="Arial"/>
          <w:snapToGrid w:val="0"/>
          <w:color w:val="auto"/>
          <w:kern w:val="0"/>
          <w:sz w:val="48"/>
          <w:szCs w:val="48"/>
          <w:highlight w:val="none"/>
          <w:lang w:val="en-US" w:eastAsia="en-US" w:bidi="ar-SA"/>
        </w:rPr>
        <w:id w:val="147469656"/>
        <w15:color w:val="DBDBDB"/>
        <w:docPartObj>
          <w:docPartGallery w:val="Table of Contents"/>
          <w:docPartUnique/>
        </w:docPartObj>
      </w:sdtPr>
      <w:sdtEndPr>
        <w:rPr>
          <w:rFonts w:ascii="宋体" w:hAnsi="宋体" w:eastAsia="宋体" w:cs="Arial"/>
          <w:snapToGrid w:val="0"/>
          <w:color w:val="auto"/>
          <w:kern w:val="0"/>
          <w:sz w:val="30"/>
          <w:szCs w:val="30"/>
          <w:highlight w:val="none"/>
          <w:lang w:val="en-US" w:eastAsia="en-US" w:bidi="ar-SA"/>
        </w:rPr>
      </w:sdtEndPr>
      <w:sdtContent>
        <w:p w14:paraId="790D2915">
          <w:pPr>
            <w:shd w:val="clear"/>
            <w:spacing w:before="0" w:beforeLines="0" w:after="0" w:afterLines="0" w:line="240" w:lineRule="auto"/>
            <w:ind w:left="0" w:leftChars="0" w:right="0" w:rightChars="0" w:firstLine="0" w:firstLineChars="0"/>
            <w:jc w:val="center"/>
            <w:rPr>
              <w:color w:val="auto"/>
              <w:sz w:val="48"/>
              <w:szCs w:val="48"/>
              <w:highlight w:val="none"/>
            </w:rPr>
          </w:pPr>
          <w:bookmarkStart w:id="2" w:name="bookmark1"/>
          <w:bookmarkEnd w:id="2"/>
          <w:r>
            <w:rPr>
              <w:rFonts w:ascii="宋体" w:hAnsi="宋体" w:eastAsia="宋体"/>
              <w:color w:val="auto"/>
              <w:sz w:val="48"/>
              <w:szCs w:val="48"/>
              <w:highlight w:val="none"/>
            </w:rPr>
            <w:t>目录</w:t>
          </w:r>
        </w:p>
        <w:p w14:paraId="43322AC1">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TOC \o "1-1" \h \u </w:instrText>
          </w:r>
          <w:r>
            <w:rPr>
              <w:color w:val="auto"/>
              <w:sz w:val="30"/>
              <w:szCs w:val="30"/>
              <w:highlight w:val="none"/>
            </w:rPr>
            <w:fldChar w:fldCharType="separate"/>
          </w:r>
        </w:p>
        <w:p w14:paraId="1C7C31CC">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_Toc1762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征集公告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_Toc1762 \h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color w:val="auto"/>
              <w:sz w:val="30"/>
              <w:szCs w:val="30"/>
              <w:highlight w:val="none"/>
            </w:rPr>
            <w:fldChar w:fldCharType="end"/>
          </w:r>
        </w:p>
        <w:p w14:paraId="74AD0295">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_Toc9967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第一章 征集邀请</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_Toc9967 \h </w:instrText>
          </w:r>
          <w:r>
            <w:rPr>
              <w:color w:val="auto"/>
              <w:sz w:val="30"/>
              <w:szCs w:val="30"/>
              <w:highlight w:val="none"/>
            </w:rPr>
            <w:fldChar w:fldCharType="separate"/>
          </w:r>
          <w:r>
            <w:rPr>
              <w:color w:val="auto"/>
              <w:sz w:val="30"/>
              <w:szCs w:val="30"/>
              <w:highlight w:val="none"/>
            </w:rPr>
            <w:t>5</w:t>
          </w:r>
          <w:r>
            <w:rPr>
              <w:color w:val="auto"/>
              <w:sz w:val="30"/>
              <w:szCs w:val="30"/>
              <w:highlight w:val="none"/>
            </w:rPr>
            <w:fldChar w:fldCharType="end"/>
          </w:r>
          <w:r>
            <w:rPr>
              <w:color w:val="auto"/>
              <w:sz w:val="30"/>
              <w:szCs w:val="30"/>
              <w:highlight w:val="none"/>
            </w:rPr>
            <w:fldChar w:fldCharType="end"/>
          </w:r>
        </w:p>
        <w:p w14:paraId="26173FC9">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_Toc29568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第二章 资格条件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_Toc29568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color w:val="auto"/>
              <w:sz w:val="30"/>
              <w:szCs w:val="30"/>
              <w:highlight w:val="none"/>
            </w:rPr>
            <w:fldChar w:fldCharType="end"/>
          </w:r>
        </w:p>
        <w:p w14:paraId="6C73923F">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_Toc467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第三章 资格审查与符合性评审</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_Toc467 \h </w:instrText>
          </w:r>
          <w:r>
            <w:rPr>
              <w:color w:val="auto"/>
              <w:sz w:val="30"/>
              <w:szCs w:val="30"/>
              <w:highlight w:val="none"/>
            </w:rPr>
            <w:fldChar w:fldCharType="separate"/>
          </w:r>
          <w:r>
            <w:rPr>
              <w:color w:val="auto"/>
              <w:sz w:val="30"/>
              <w:szCs w:val="30"/>
              <w:highlight w:val="none"/>
            </w:rPr>
            <w:t>7</w:t>
          </w:r>
          <w:r>
            <w:rPr>
              <w:color w:val="auto"/>
              <w:sz w:val="30"/>
              <w:szCs w:val="30"/>
              <w:highlight w:val="none"/>
            </w:rPr>
            <w:fldChar w:fldCharType="end"/>
          </w:r>
          <w:r>
            <w:rPr>
              <w:color w:val="auto"/>
              <w:sz w:val="30"/>
              <w:szCs w:val="30"/>
              <w:highlight w:val="none"/>
            </w:rPr>
            <w:fldChar w:fldCharType="end"/>
          </w:r>
        </w:p>
        <w:p w14:paraId="50DBA10F">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_Toc19512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第四章 第一阶段入围评审办法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_Toc19512 \h </w:instrText>
          </w:r>
          <w:r>
            <w:rPr>
              <w:color w:val="auto"/>
              <w:sz w:val="30"/>
              <w:szCs w:val="30"/>
              <w:highlight w:val="none"/>
            </w:rPr>
            <w:fldChar w:fldCharType="separate"/>
          </w:r>
          <w:r>
            <w:rPr>
              <w:color w:val="auto"/>
              <w:sz w:val="30"/>
              <w:szCs w:val="30"/>
              <w:highlight w:val="none"/>
            </w:rPr>
            <w:t>9</w:t>
          </w:r>
          <w:r>
            <w:rPr>
              <w:color w:val="auto"/>
              <w:sz w:val="30"/>
              <w:szCs w:val="30"/>
              <w:highlight w:val="none"/>
            </w:rPr>
            <w:fldChar w:fldCharType="end"/>
          </w:r>
          <w:r>
            <w:rPr>
              <w:color w:val="auto"/>
              <w:sz w:val="30"/>
              <w:szCs w:val="30"/>
              <w:highlight w:val="none"/>
            </w:rPr>
            <w:fldChar w:fldCharType="end"/>
          </w:r>
        </w:p>
        <w:p w14:paraId="2831B568">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_Toc22685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第五章 确定第二阶段成交供应商的方式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_Toc22685 \h </w:instrText>
          </w:r>
          <w:r>
            <w:rPr>
              <w:color w:val="auto"/>
              <w:sz w:val="30"/>
              <w:szCs w:val="30"/>
              <w:highlight w:val="none"/>
            </w:rPr>
            <w:fldChar w:fldCharType="separate"/>
          </w:r>
          <w:r>
            <w:rPr>
              <w:color w:val="auto"/>
              <w:sz w:val="30"/>
              <w:szCs w:val="30"/>
              <w:highlight w:val="none"/>
            </w:rPr>
            <w:t>12</w:t>
          </w:r>
          <w:r>
            <w:rPr>
              <w:color w:val="auto"/>
              <w:sz w:val="30"/>
              <w:szCs w:val="30"/>
              <w:highlight w:val="none"/>
            </w:rPr>
            <w:fldChar w:fldCharType="end"/>
          </w:r>
          <w:r>
            <w:rPr>
              <w:color w:val="auto"/>
              <w:sz w:val="30"/>
              <w:szCs w:val="30"/>
              <w:highlight w:val="none"/>
            </w:rPr>
            <w:fldChar w:fldCharType="end"/>
          </w:r>
        </w:p>
        <w:p w14:paraId="074F04BD">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_Toc19878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第六章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_Toc19878 \h </w:instrText>
          </w:r>
          <w:r>
            <w:rPr>
              <w:color w:val="auto"/>
              <w:sz w:val="30"/>
              <w:szCs w:val="30"/>
              <w:highlight w:val="none"/>
            </w:rPr>
            <w:fldChar w:fldCharType="separate"/>
          </w:r>
          <w:r>
            <w:rPr>
              <w:color w:val="auto"/>
              <w:sz w:val="30"/>
              <w:szCs w:val="30"/>
              <w:highlight w:val="none"/>
            </w:rPr>
            <w:t>13</w:t>
          </w:r>
          <w:r>
            <w:rPr>
              <w:color w:val="auto"/>
              <w:sz w:val="30"/>
              <w:szCs w:val="30"/>
              <w:highlight w:val="none"/>
            </w:rPr>
            <w:fldChar w:fldCharType="end"/>
          </w:r>
          <w:r>
            <w:rPr>
              <w:color w:val="auto"/>
              <w:sz w:val="30"/>
              <w:szCs w:val="30"/>
              <w:highlight w:val="none"/>
            </w:rPr>
            <w:fldChar w:fldCharType="end"/>
          </w:r>
        </w:p>
        <w:p w14:paraId="43E64B73">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_Toc29231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第七章 用户评价机制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_Toc29231 \h </w:instrText>
          </w:r>
          <w:r>
            <w:rPr>
              <w:color w:val="auto"/>
              <w:sz w:val="30"/>
              <w:szCs w:val="30"/>
              <w:highlight w:val="none"/>
            </w:rPr>
            <w:fldChar w:fldCharType="separate"/>
          </w:r>
          <w:r>
            <w:rPr>
              <w:color w:val="auto"/>
              <w:sz w:val="30"/>
              <w:szCs w:val="30"/>
              <w:highlight w:val="none"/>
            </w:rPr>
            <w:t>21</w:t>
          </w:r>
          <w:r>
            <w:rPr>
              <w:color w:val="auto"/>
              <w:sz w:val="30"/>
              <w:szCs w:val="30"/>
              <w:highlight w:val="none"/>
            </w:rPr>
            <w:fldChar w:fldCharType="end"/>
          </w:r>
          <w:r>
            <w:rPr>
              <w:color w:val="auto"/>
              <w:sz w:val="30"/>
              <w:szCs w:val="30"/>
              <w:highlight w:val="none"/>
            </w:rPr>
            <w:fldChar w:fldCharType="end"/>
          </w:r>
        </w:p>
        <w:p w14:paraId="45894CDD">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_Toc17509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第八章 框架协议</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_Toc17509 \h </w:instrText>
          </w:r>
          <w:r>
            <w:rPr>
              <w:color w:val="auto"/>
              <w:sz w:val="30"/>
              <w:szCs w:val="30"/>
              <w:highlight w:val="none"/>
            </w:rPr>
            <w:fldChar w:fldCharType="separate"/>
          </w:r>
          <w:r>
            <w:rPr>
              <w:color w:val="auto"/>
              <w:sz w:val="30"/>
              <w:szCs w:val="30"/>
              <w:highlight w:val="none"/>
            </w:rPr>
            <w:t>22</w:t>
          </w:r>
          <w:r>
            <w:rPr>
              <w:color w:val="auto"/>
              <w:sz w:val="30"/>
              <w:szCs w:val="30"/>
              <w:highlight w:val="none"/>
            </w:rPr>
            <w:fldChar w:fldCharType="end"/>
          </w:r>
          <w:r>
            <w:rPr>
              <w:color w:val="auto"/>
              <w:sz w:val="30"/>
              <w:szCs w:val="30"/>
              <w:highlight w:val="none"/>
            </w:rPr>
            <w:fldChar w:fldCharType="end"/>
          </w:r>
        </w:p>
        <w:p w14:paraId="36C83701">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_Toc7219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第九章 供应商信用信息</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_Toc7219 \h </w:instrText>
          </w:r>
          <w:r>
            <w:rPr>
              <w:color w:val="auto"/>
              <w:sz w:val="30"/>
              <w:szCs w:val="30"/>
              <w:highlight w:val="none"/>
            </w:rPr>
            <w:fldChar w:fldCharType="separate"/>
          </w:r>
          <w:r>
            <w:rPr>
              <w:color w:val="auto"/>
              <w:sz w:val="30"/>
              <w:szCs w:val="30"/>
              <w:highlight w:val="none"/>
            </w:rPr>
            <w:t>27</w:t>
          </w:r>
          <w:r>
            <w:rPr>
              <w:color w:val="auto"/>
              <w:sz w:val="30"/>
              <w:szCs w:val="30"/>
              <w:highlight w:val="none"/>
            </w:rPr>
            <w:fldChar w:fldCharType="end"/>
          </w:r>
          <w:r>
            <w:rPr>
              <w:color w:val="auto"/>
              <w:sz w:val="30"/>
              <w:szCs w:val="30"/>
              <w:highlight w:val="none"/>
            </w:rPr>
            <w:fldChar w:fldCharType="end"/>
          </w:r>
        </w:p>
        <w:p w14:paraId="2F8588B1">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_Toc26344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第十章 响应文件的编制和提交</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_Toc26344 \h </w:instrText>
          </w:r>
          <w:r>
            <w:rPr>
              <w:color w:val="auto"/>
              <w:sz w:val="30"/>
              <w:szCs w:val="30"/>
              <w:highlight w:val="none"/>
            </w:rPr>
            <w:fldChar w:fldCharType="separate"/>
          </w:r>
          <w:r>
            <w:rPr>
              <w:color w:val="auto"/>
              <w:sz w:val="30"/>
              <w:szCs w:val="30"/>
              <w:highlight w:val="none"/>
            </w:rPr>
            <w:t>27</w:t>
          </w:r>
          <w:r>
            <w:rPr>
              <w:color w:val="auto"/>
              <w:sz w:val="30"/>
              <w:szCs w:val="30"/>
              <w:highlight w:val="none"/>
            </w:rPr>
            <w:fldChar w:fldCharType="end"/>
          </w:r>
          <w:r>
            <w:rPr>
              <w:color w:val="auto"/>
              <w:sz w:val="30"/>
              <w:szCs w:val="30"/>
              <w:highlight w:val="none"/>
            </w:rPr>
            <w:fldChar w:fldCharType="end"/>
          </w:r>
        </w:p>
        <w:p w14:paraId="5D220D78">
          <w:pPr>
            <w:pStyle w:val="10"/>
            <w:shd w:val="clear"/>
            <w:tabs>
              <w:tab w:val="right" w:leader="dot" w:pos="9746"/>
            </w:tabs>
            <w:spacing w:line="360" w:lineRule="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_Toc6174 </w:instrText>
          </w:r>
          <w:r>
            <w:rPr>
              <w:color w:val="auto"/>
              <w:sz w:val="30"/>
              <w:szCs w:val="30"/>
              <w:highlight w:val="none"/>
            </w:rPr>
            <w:fldChar w:fldCharType="separate"/>
          </w:r>
          <w:r>
            <w:rPr>
              <w:rFonts w:hint="eastAsia" w:ascii="仿宋" w:hAnsi="仿宋" w:eastAsia="仿宋" w:cs="仿宋"/>
              <w:bCs/>
              <w:snapToGrid/>
              <w:color w:val="auto"/>
              <w:sz w:val="30"/>
              <w:szCs w:val="30"/>
              <w:highlight w:val="none"/>
              <w:lang w:val="en-US" w:eastAsia="zh-CN"/>
            </w:rPr>
            <w:t>第十一章响应文件（格式）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_Toc6174 \h </w:instrText>
          </w:r>
          <w:r>
            <w:rPr>
              <w:color w:val="auto"/>
              <w:sz w:val="30"/>
              <w:szCs w:val="30"/>
              <w:highlight w:val="none"/>
            </w:rPr>
            <w:fldChar w:fldCharType="separate"/>
          </w:r>
          <w:r>
            <w:rPr>
              <w:color w:val="auto"/>
              <w:sz w:val="30"/>
              <w:szCs w:val="30"/>
              <w:highlight w:val="none"/>
            </w:rPr>
            <w:t>29</w:t>
          </w:r>
          <w:r>
            <w:rPr>
              <w:color w:val="auto"/>
              <w:sz w:val="30"/>
              <w:szCs w:val="30"/>
              <w:highlight w:val="none"/>
            </w:rPr>
            <w:fldChar w:fldCharType="end"/>
          </w:r>
          <w:r>
            <w:rPr>
              <w:color w:val="auto"/>
              <w:sz w:val="30"/>
              <w:szCs w:val="30"/>
              <w:highlight w:val="none"/>
            </w:rPr>
            <w:fldChar w:fldCharType="end"/>
          </w:r>
        </w:p>
        <w:p w14:paraId="4A557027">
          <w:pPr>
            <w:shd w:val="clear"/>
            <w:spacing w:line="360" w:lineRule="auto"/>
            <w:rPr>
              <w:color w:val="auto"/>
              <w:sz w:val="30"/>
              <w:szCs w:val="30"/>
              <w:highlight w:val="none"/>
            </w:rPr>
          </w:pPr>
          <w:r>
            <w:rPr>
              <w:color w:val="auto"/>
              <w:sz w:val="30"/>
              <w:szCs w:val="30"/>
              <w:highlight w:val="none"/>
            </w:rPr>
            <w:fldChar w:fldCharType="end"/>
          </w:r>
        </w:p>
      </w:sdtContent>
    </w:sdt>
    <w:p w14:paraId="0E2A7C60">
      <w:pPr>
        <w:shd w:val="clear"/>
        <w:spacing w:line="360" w:lineRule="auto"/>
        <w:rPr>
          <w:color w:val="auto"/>
          <w:sz w:val="30"/>
          <w:szCs w:val="30"/>
          <w:highlight w:val="none"/>
        </w:rPr>
      </w:pPr>
    </w:p>
    <w:p w14:paraId="1D629C8D">
      <w:pPr>
        <w:shd w:val="clear"/>
        <w:rPr>
          <w:rFonts w:hint="eastAsia" w:ascii="仿宋" w:hAnsi="仿宋" w:eastAsia="仿宋" w:cs="仿宋"/>
          <w:b/>
          <w:bCs/>
          <w:snapToGrid/>
          <w:color w:val="auto"/>
          <w:sz w:val="36"/>
          <w:szCs w:val="36"/>
          <w:highlight w:val="none"/>
          <w:lang w:val="en-US" w:eastAsia="zh-CN"/>
        </w:rPr>
      </w:pPr>
      <w:bookmarkStart w:id="3" w:name="_Toc1762"/>
      <w:r>
        <w:rPr>
          <w:rFonts w:hint="eastAsia" w:ascii="仿宋" w:hAnsi="仿宋" w:eastAsia="仿宋" w:cs="仿宋"/>
          <w:b/>
          <w:bCs/>
          <w:snapToGrid/>
          <w:color w:val="auto"/>
          <w:sz w:val="36"/>
          <w:szCs w:val="36"/>
          <w:highlight w:val="none"/>
          <w:lang w:val="en-US" w:eastAsia="zh-CN"/>
        </w:rPr>
        <w:br w:type="page"/>
      </w:r>
    </w:p>
    <w:p w14:paraId="171086C0">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r>
        <w:rPr>
          <w:rFonts w:hint="eastAsia" w:ascii="仿宋" w:hAnsi="仿宋" w:eastAsia="仿宋" w:cs="仿宋"/>
          <w:b/>
          <w:bCs/>
          <w:snapToGrid/>
          <w:color w:val="auto"/>
          <w:sz w:val="36"/>
          <w:szCs w:val="36"/>
          <w:highlight w:val="none"/>
          <w:lang w:val="en-US" w:eastAsia="zh-CN"/>
        </w:rPr>
        <w:t>征集公告</w:t>
      </w:r>
      <w:bookmarkEnd w:id="3"/>
    </w:p>
    <w:p w14:paraId="039818A6">
      <w:pPr>
        <w:pStyle w:val="11"/>
        <w:keepNext w:val="0"/>
        <w:keepLines w:val="0"/>
        <w:widowControl/>
        <w:suppressLineNumbers w:val="0"/>
        <w:shd w:val="clear"/>
        <w:wordWrap w:val="0"/>
        <w:spacing w:before="55" w:beforeAutospacing="0" w:after="0" w:afterAutospacing="0" w:line="360" w:lineRule="auto"/>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一、征集人信息</w:t>
      </w:r>
    </w:p>
    <w:p w14:paraId="12B38201">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征集人名称：</w:t>
      </w:r>
      <w:r>
        <w:rPr>
          <w:rFonts w:hint="eastAsia" w:ascii="仿宋" w:hAnsi="仿宋" w:eastAsia="仿宋" w:cs="仿宋"/>
          <w:i w:val="0"/>
          <w:iCs w:val="0"/>
          <w:caps w:val="0"/>
          <w:color w:val="auto"/>
          <w:spacing w:val="0"/>
          <w:sz w:val="24"/>
          <w:szCs w:val="24"/>
          <w:highlight w:val="none"/>
          <w:lang w:val="en-US" w:eastAsia="zh-CN"/>
        </w:rPr>
        <w:t>六安城市建设投资有限公司</w:t>
      </w:r>
    </w:p>
    <w:p w14:paraId="05C7C910">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征集人地址</w:t>
      </w:r>
      <w:r>
        <w:rPr>
          <w:rFonts w:hint="eastAsia" w:ascii="仿宋" w:hAnsi="仿宋" w:eastAsia="仿宋" w:cs="仿宋"/>
          <w:i w:val="0"/>
          <w:iCs w:val="0"/>
          <w:caps w:val="0"/>
          <w:color w:val="auto"/>
          <w:spacing w:val="0"/>
          <w:sz w:val="24"/>
          <w:szCs w:val="24"/>
          <w:highlight w:val="none"/>
          <w:lang w:val="en-US" w:eastAsia="zh-CN"/>
        </w:rPr>
        <w:t>：安徽省六安市金安区皖西路与长安路交叉口城投大厦18楼</w:t>
      </w:r>
    </w:p>
    <w:p w14:paraId="2D6E406D">
      <w:pPr>
        <w:pStyle w:val="11"/>
        <w:keepNext w:val="0"/>
        <w:keepLines w:val="0"/>
        <w:widowControl/>
        <w:suppressLineNumbers w:val="0"/>
        <w:shd w:val="clear"/>
        <w:wordWrap w:val="0"/>
        <w:spacing w:before="55" w:beforeAutospacing="0" w:after="0" w:afterAutospacing="0" w:line="360" w:lineRule="auto"/>
        <w:ind w:left="0" w:right="0" w:firstLine="354"/>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征集人联系人：张经理</w:t>
      </w:r>
    </w:p>
    <w:p w14:paraId="2A6C85F4">
      <w:pPr>
        <w:pStyle w:val="11"/>
        <w:keepNext w:val="0"/>
        <w:keepLines w:val="0"/>
        <w:widowControl/>
        <w:suppressLineNumbers w:val="0"/>
        <w:shd w:val="clear"/>
        <w:wordWrap w:val="0"/>
        <w:spacing w:before="55" w:beforeAutospacing="0" w:after="0" w:afterAutospacing="0" w:line="360" w:lineRule="auto"/>
        <w:ind w:left="0" w:right="0" w:firstLine="354"/>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征集人联系方式：0564-</w:t>
      </w:r>
      <w:r>
        <w:rPr>
          <w:rFonts w:hint="eastAsia" w:ascii="仿宋" w:hAnsi="仿宋" w:eastAsia="仿宋" w:cs="仿宋"/>
          <w:i w:val="0"/>
          <w:iCs w:val="0"/>
          <w:caps w:val="0"/>
          <w:color w:val="auto"/>
          <w:spacing w:val="0"/>
          <w:sz w:val="24"/>
          <w:szCs w:val="24"/>
          <w:highlight w:val="none"/>
          <w:lang w:val="en-US" w:eastAsia="zh-CN"/>
        </w:rPr>
        <w:t>3360637</w:t>
      </w:r>
    </w:p>
    <w:p w14:paraId="5DF3F5CC">
      <w:pPr>
        <w:pStyle w:val="11"/>
        <w:keepNext w:val="0"/>
        <w:keepLines w:val="0"/>
        <w:widowControl/>
        <w:suppressLineNumbers w:val="0"/>
        <w:shd w:val="clear"/>
        <w:wordWrap w:val="0"/>
        <w:spacing w:before="55" w:beforeAutospacing="0" w:after="0" w:afterAutospacing="0" w:line="360" w:lineRule="auto"/>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二、采购项目信息</w:t>
      </w:r>
    </w:p>
    <w:p w14:paraId="3DA42E5C">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项目名称：</w:t>
      </w:r>
      <w:r>
        <w:rPr>
          <w:rFonts w:hint="eastAsia" w:ascii="仿宋" w:hAnsi="仿宋" w:eastAsia="仿宋" w:cs="仿宋"/>
          <w:i w:val="0"/>
          <w:iCs w:val="0"/>
          <w:caps w:val="0"/>
          <w:color w:val="auto"/>
          <w:spacing w:val="0"/>
          <w:sz w:val="24"/>
          <w:szCs w:val="24"/>
          <w:highlight w:val="none"/>
          <w:lang w:val="en-US" w:eastAsia="zh-CN"/>
        </w:rPr>
        <w:t>六安城市建设投资有限公司征集第三方咨询服务机构项目框架协议</w:t>
      </w:r>
    </w:p>
    <w:p w14:paraId="40894FD4">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bookmarkStart w:id="4" w:name="_Toc14721"/>
      <w:r>
        <w:rPr>
          <w:rFonts w:hint="eastAsia" w:ascii="仿宋" w:hAnsi="仿宋" w:eastAsia="仿宋" w:cs="仿宋"/>
          <w:i w:val="0"/>
          <w:iCs w:val="0"/>
          <w:caps w:val="0"/>
          <w:color w:val="auto"/>
          <w:spacing w:val="0"/>
          <w:sz w:val="24"/>
          <w:szCs w:val="24"/>
          <w:highlight w:val="none"/>
          <w:lang w:val="en-US" w:eastAsia="zh-CN"/>
        </w:rPr>
        <w:t>征集对象：征集不超过6家第三方咨询服务机构</w:t>
      </w:r>
    </w:p>
    <w:p w14:paraId="3B81006B">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服务内容</w:t>
      </w:r>
      <w:bookmarkEnd w:id="4"/>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招标</w:t>
      </w:r>
      <w:r>
        <w:rPr>
          <w:rFonts w:hint="eastAsia" w:ascii="仿宋" w:hAnsi="仿宋" w:eastAsia="仿宋" w:cs="仿宋"/>
          <w:i w:val="0"/>
          <w:iCs w:val="0"/>
          <w:caps w:val="0"/>
          <w:color w:val="auto"/>
          <w:spacing w:val="0"/>
          <w:sz w:val="24"/>
          <w:szCs w:val="24"/>
          <w:highlight w:val="none"/>
          <w:lang w:val="en-US" w:eastAsia="zh-CN"/>
        </w:rPr>
        <w:t>代理、清单及控制价编制服务等，具体详见采购需求。</w:t>
      </w:r>
    </w:p>
    <w:p w14:paraId="02A751FC">
      <w:pPr>
        <w:pStyle w:val="11"/>
        <w:keepNext w:val="0"/>
        <w:keepLines w:val="0"/>
        <w:widowControl/>
        <w:suppressLineNumbers w:val="0"/>
        <w:shd w:val="clear"/>
        <w:wordWrap w:val="0"/>
        <w:spacing w:before="55" w:beforeAutospacing="0" w:after="0" w:afterAutospacing="0" w:line="360" w:lineRule="auto"/>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三、供应商的资格条件</w:t>
      </w:r>
    </w:p>
    <w:p w14:paraId="2C338326">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(一)具有独立承担民事责任的能力；</w:t>
      </w:r>
    </w:p>
    <w:p w14:paraId="17805674">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(二)具有良好的商业信誉和健全的财务会计制度；</w:t>
      </w:r>
    </w:p>
    <w:p w14:paraId="1C154F98">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(三)具有履行合同所必需的设备和专业技术能力；</w:t>
      </w:r>
    </w:p>
    <w:p w14:paraId="681F75C3">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(四)有依法缴纳税收和社会保障资金的良好记录；</w:t>
      </w:r>
    </w:p>
    <w:p w14:paraId="2CC680BB">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(五)法律、行政法规规定的其他条件。</w:t>
      </w:r>
    </w:p>
    <w:p w14:paraId="4A8BE65F">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注：各供应商在响应文件中须提供上述内容的承诺函原件，评审小组以承诺函为评审依据，未提供承诺函原件视为响应资格无效。</w:t>
      </w:r>
    </w:p>
    <w:p w14:paraId="7710499C">
      <w:pPr>
        <w:pStyle w:val="11"/>
        <w:keepNext w:val="0"/>
        <w:keepLines w:val="0"/>
        <w:widowControl/>
        <w:suppressLineNumbers w:val="0"/>
        <w:shd w:val="clear"/>
        <w:wordWrap w:val="0"/>
        <w:spacing w:before="55" w:beforeAutospacing="0" w:after="0" w:afterAutospacing="0" w:line="360" w:lineRule="auto"/>
        <w:ind w:left="0" w:right="0" w:firstLine="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四、框架协议的期限</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12个月</w:t>
      </w:r>
    </w:p>
    <w:p w14:paraId="00AB2759">
      <w:pPr>
        <w:pStyle w:val="11"/>
        <w:keepNext w:val="0"/>
        <w:keepLines w:val="0"/>
        <w:widowControl/>
        <w:suppressLineNumbers w:val="0"/>
        <w:shd w:val="clear"/>
        <w:wordWrap w:val="0"/>
        <w:spacing w:before="55" w:beforeAutospacing="0" w:after="0" w:afterAutospacing="0" w:line="360" w:lineRule="auto"/>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五、获取征集文件的时间、地点和方式</w:t>
      </w:r>
    </w:p>
    <w:p w14:paraId="21704102">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1、时间：</w:t>
      </w:r>
      <w:r>
        <w:rPr>
          <w:rFonts w:hint="eastAsia" w:ascii="仿宋" w:hAnsi="仿宋" w:eastAsia="仿宋" w:cs="仿宋"/>
          <w:i w:val="0"/>
          <w:iCs w:val="0"/>
          <w:caps w:val="0"/>
          <w:color w:val="auto"/>
          <w:spacing w:val="0"/>
          <w:sz w:val="24"/>
          <w:szCs w:val="24"/>
          <w:highlight w:val="none"/>
          <w:lang w:val="en-US" w:eastAsia="zh-CN"/>
        </w:rPr>
        <w:t>2025</w:t>
      </w:r>
      <w:r>
        <w:rPr>
          <w:rFonts w:hint="eastAsia" w:ascii="仿宋" w:hAnsi="仿宋" w:eastAsia="仿宋" w:cs="仿宋"/>
          <w:i w:val="0"/>
          <w:iCs w:val="0"/>
          <w:caps w:val="0"/>
          <w:color w:val="auto"/>
          <w:spacing w:val="0"/>
          <w:sz w:val="24"/>
          <w:szCs w:val="24"/>
          <w:highlight w:val="none"/>
        </w:rPr>
        <w:t>年</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月</w:t>
      </w:r>
      <w:r>
        <w:rPr>
          <w:rFonts w:hint="eastAsia" w:ascii="仿宋" w:hAnsi="仿宋" w:eastAsia="仿宋" w:cs="仿宋"/>
          <w:i w:val="0"/>
          <w:iCs w:val="0"/>
          <w:caps w:val="0"/>
          <w:color w:val="auto"/>
          <w:spacing w:val="0"/>
          <w:sz w:val="24"/>
          <w:szCs w:val="24"/>
          <w:highlight w:val="none"/>
          <w:lang w:val="en-US" w:eastAsia="zh-CN"/>
        </w:rPr>
        <w:t>26</w:t>
      </w:r>
      <w:r>
        <w:rPr>
          <w:rFonts w:hint="eastAsia" w:ascii="仿宋" w:hAnsi="仿宋" w:eastAsia="仿宋" w:cs="仿宋"/>
          <w:i w:val="0"/>
          <w:iCs w:val="0"/>
          <w:caps w:val="0"/>
          <w:color w:val="auto"/>
          <w:spacing w:val="0"/>
          <w:sz w:val="24"/>
          <w:szCs w:val="24"/>
          <w:highlight w:val="none"/>
        </w:rPr>
        <w:t>日至</w:t>
      </w:r>
      <w:r>
        <w:rPr>
          <w:rFonts w:hint="eastAsia" w:ascii="仿宋" w:hAnsi="仿宋" w:eastAsia="仿宋" w:cs="仿宋"/>
          <w:i w:val="0"/>
          <w:iCs w:val="0"/>
          <w:caps w:val="0"/>
          <w:color w:val="auto"/>
          <w:spacing w:val="0"/>
          <w:sz w:val="24"/>
          <w:szCs w:val="24"/>
          <w:highlight w:val="none"/>
          <w:lang w:val="en-US" w:eastAsia="zh-CN"/>
        </w:rPr>
        <w:t>2025</w:t>
      </w:r>
      <w:r>
        <w:rPr>
          <w:rFonts w:hint="eastAsia" w:ascii="仿宋" w:hAnsi="仿宋" w:eastAsia="仿宋" w:cs="仿宋"/>
          <w:i w:val="0"/>
          <w:iCs w:val="0"/>
          <w:caps w:val="0"/>
          <w:color w:val="auto"/>
          <w:spacing w:val="0"/>
          <w:sz w:val="24"/>
          <w:szCs w:val="24"/>
          <w:highlight w:val="none"/>
        </w:rPr>
        <w:t>年</w:t>
      </w:r>
      <w:r>
        <w:rPr>
          <w:rFonts w:hint="eastAsia" w:ascii="仿宋" w:hAnsi="仿宋" w:eastAsia="仿宋" w:cs="仿宋"/>
          <w:i w:val="0"/>
          <w:iCs w:val="0"/>
          <w:caps w:val="0"/>
          <w:color w:val="auto"/>
          <w:spacing w:val="0"/>
          <w:sz w:val="24"/>
          <w:szCs w:val="24"/>
          <w:highlight w:val="none"/>
          <w:lang w:val="en-US" w:eastAsia="zh-CN"/>
        </w:rPr>
        <w:t>6</w:t>
      </w:r>
      <w:r>
        <w:rPr>
          <w:rFonts w:hint="eastAsia" w:ascii="仿宋" w:hAnsi="仿宋" w:eastAsia="仿宋" w:cs="仿宋"/>
          <w:i w:val="0"/>
          <w:iCs w:val="0"/>
          <w:caps w:val="0"/>
          <w:color w:val="auto"/>
          <w:spacing w:val="0"/>
          <w:sz w:val="24"/>
          <w:szCs w:val="24"/>
          <w:highlight w:val="none"/>
        </w:rPr>
        <w:t>月</w:t>
      </w:r>
      <w:r>
        <w:rPr>
          <w:rFonts w:hint="eastAsia" w:ascii="仿宋" w:hAnsi="仿宋" w:eastAsia="仿宋" w:cs="仿宋"/>
          <w:i w:val="0"/>
          <w:iCs w:val="0"/>
          <w:caps w:val="0"/>
          <w:color w:val="auto"/>
          <w:spacing w:val="0"/>
          <w:sz w:val="24"/>
          <w:szCs w:val="24"/>
          <w:highlight w:val="none"/>
          <w:lang w:val="en-US" w:eastAsia="zh-CN"/>
        </w:rPr>
        <w:t>17</w:t>
      </w:r>
      <w:r>
        <w:rPr>
          <w:rFonts w:hint="eastAsia" w:ascii="仿宋" w:hAnsi="仿宋" w:eastAsia="仿宋" w:cs="仿宋"/>
          <w:i w:val="0"/>
          <w:iCs w:val="0"/>
          <w:caps w:val="0"/>
          <w:color w:val="auto"/>
          <w:spacing w:val="0"/>
          <w:sz w:val="24"/>
          <w:szCs w:val="24"/>
          <w:highlight w:val="none"/>
        </w:rPr>
        <w:t>日（北京时间）</w:t>
      </w:r>
    </w:p>
    <w:p w14:paraId="43DAF6E9">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2、地点：新点电子交易平台下载者请务必至少在文件发售截止时间半个工作日前登录平台完成购买操作，否则将无法保证获取电子</w:t>
      </w:r>
      <w:r>
        <w:rPr>
          <w:rFonts w:hint="eastAsia" w:ascii="仿宋" w:hAnsi="仿宋" w:eastAsia="仿宋" w:cs="仿宋"/>
          <w:i w:val="0"/>
          <w:iCs w:val="0"/>
          <w:caps w:val="0"/>
          <w:color w:val="auto"/>
          <w:spacing w:val="0"/>
          <w:sz w:val="24"/>
          <w:szCs w:val="24"/>
          <w:highlight w:val="none"/>
          <w:lang w:val="en-US" w:eastAsia="zh-CN"/>
        </w:rPr>
        <w:t>征集文件</w:t>
      </w:r>
      <w:r>
        <w:rPr>
          <w:rFonts w:hint="eastAsia" w:ascii="仿宋" w:hAnsi="仿宋" w:eastAsia="仿宋" w:cs="仿宋"/>
          <w:i w:val="0"/>
          <w:iCs w:val="0"/>
          <w:caps w:val="0"/>
          <w:color w:val="auto"/>
          <w:spacing w:val="0"/>
          <w:sz w:val="24"/>
          <w:szCs w:val="24"/>
          <w:highlight w:val="none"/>
        </w:rPr>
        <w:t>。</w:t>
      </w:r>
    </w:p>
    <w:p w14:paraId="6A7BEB1F">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3、方式：网上下载</w:t>
      </w:r>
    </w:p>
    <w:p w14:paraId="4816A06F">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①下载者须前往新点电子交易平台免费注册（平台仅对供应商注册信息与其提供的附件信息进行一致性检查）；注册为一次性工作，以后若有需要只需变更及完善相关信息；注册成功后，可以及时参与平台上所有发布的项目。下载者操作手册。</w:t>
      </w:r>
    </w:p>
    <w:p w14:paraId="566F0169">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②下载者需要发票的，需在报名时，在平台提交“发票信息”附件。平台下载费发票由新点电子交易平台出具。非因代理机构或平台公司原因，发票一经开具不予退换，由于供应商未在平台中提交开票信息所造成的开票延误，代理机构或平台公司不承担相关责任。</w:t>
      </w:r>
    </w:p>
    <w:p w14:paraId="019DBE0C">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③平台咨询电话：4009280095-5，服务时间为工作日上午8时30分至12时00分，下午1时30分至5时30分。</w:t>
      </w:r>
    </w:p>
    <w:p w14:paraId="20020C54">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④有意向参与本项目的供应商，应在</w:t>
      </w:r>
      <w:r>
        <w:rPr>
          <w:rFonts w:hint="eastAsia" w:ascii="仿宋" w:hAnsi="仿宋" w:eastAsia="仿宋" w:cs="仿宋"/>
          <w:i w:val="0"/>
          <w:iCs w:val="0"/>
          <w:caps w:val="0"/>
          <w:color w:val="auto"/>
          <w:spacing w:val="0"/>
          <w:sz w:val="24"/>
          <w:szCs w:val="24"/>
          <w:highlight w:val="none"/>
          <w:lang w:val="en-US" w:eastAsia="zh-CN"/>
        </w:rPr>
        <w:t>响应文件递交</w:t>
      </w:r>
      <w:r>
        <w:rPr>
          <w:rFonts w:hint="eastAsia" w:ascii="仿宋" w:hAnsi="仿宋" w:eastAsia="仿宋" w:cs="仿宋"/>
          <w:i w:val="0"/>
          <w:iCs w:val="0"/>
          <w:caps w:val="0"/>
          <w:color w:val="auto"/>
          <w:spacing w:val="0"/>
          <w:sz w:val="24"/>
          <w:szCs w:val="24"/>
          <w:highlight w:val="none"/>
        </w:rPr>
        <w:t>截止时间前自行在新点电子交易平台系统下载</w:t>
      </w:r>
      <w:r>
        <w:rPr>
          <w:rFonts w:hint="eastAsia" w:ascii="仿宋" w:hAnsi="仿宋" w:eastAsia="仿宋" w:cs="仿宋"/>
          <w:i w:val="0"/>
          <w:iCs w:val="0"/>
          <w:caps w:val="0"/>
          <w:color w:val="auto"/>
          <w:spacing w:val="0"/>
          <w:sz w:val="24"/>
          <w:szCs w:val="24"/>
          <w:highlight w:val="none"/>
          <w:lang w:val="en-US" w:eastAsia="zh-CN"/>
        </w:rPr>
        <w:t>征集文件</w:t>
      </w:r>
      <w:r>
        <w:rPr>
          <w:rFonts w:hint="eastAsia" w:ascii="仿宋" w:hAnsi="仿宋" w:eastAsia="仿宋" w:cs="仿宋"/>
          <w:i w:val="0"/>
          <w:iCs w:val="0"/>
          <w:caps w:val="0"/>
          <w:color w:val="auto"/>
          <w:spacing w:val="0"/>
          <w:sz w:val="24"/>
          <w:szCs w:val="24"/>
          <w:highlight w:val="none"/>
        </w:rPr>
        <w:t>、补充公告和澄清文件等资料，否则，</w:t>
      </w:r>
      <w:r>
        <w:rPr>
          <w:rFonts w:hint="eastAsia" w:ascii="仿宋" w:hAnsi="仿宋" w:eastAsia="仿宋" w:cs="仿宋"/>
          <w:i w:val="0"/>
          <w:iCs w:val="0"/>
          <w:caps w:val="0"/>
          <w:color w:val="auto"/>
          <w:spacing w:val="0"/>
          <w:sz w:val="24"/>
          <w:szCs w:val="24"/>
          <w:highlight w:val="none"/>
          <w:lang w:val="en-US" w:eastAsia="zh-CN"/>
        </w:rPr>
        <w:t>征集人</w:t>
      </w:r>
      <w:r>
        <w:rPr>
          <w:rFonts w:hint="eastAsia" w:ascii="仿宋" w:hAnsi="仿宋" w:eastAsia="仿宋" w:cs="仿宋"/>
          <w:i w:val="0"/>
          <w:iCs w:val="0"/>
          <w:caps w:val="0"/>
          <w:color w:val="auto"/>
          <w:spacing w:val="0"/>
          <w:sz w:val="24"/>
          <w:szCs w:val="24"/>
          <w:highlight w:val="none"/>
        </w:rPr>
        <w:t>不予接收供应商的响应文件。</w:t>
      </w:r>
    </w:p>
    <w:p w14:paraId="3CF1573B">
      <w:pPr>
        <w:pStyle w:val="11"/>
        <w:keepNext w:val="0"/>
        <w:keepLines w:val="0"/>
        <w:widowControl/>
        <w:suppressLineNumbers w:val="0"/>
        <w:shd w:val="clear"/>
        <w:wordWrap w:val="0"/>
        <w:spacing w:before="55" w:beforeAutospacing="0" w:after="0" w:afterAutospacing="0" w:line="360" w:lineRule="auto"/>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六、响应文件的提交截止时间</w:t>
      </w:r>
      <w:r>
        <w:rPr>
          <w:rFonts w:hint="eastAsia" w:ascii="仿宋" w:hAnsi="仿宋" w:eastAsia="仿宋" w:cs="仿宋"/>
          <w:i w:val="0"/>
          <w:iCs w:val="0"/>
          <w:caps w:val="0"/>
          <w:color w:val="auto"/>
          <w:spacing w:val="0"/>
          <w:sz w:val="24"/>
          <w:szCs w:val="24"/>
          <w:highlight w:val="none"/>
          <w:lang w:val="en-US" w:eastAsia="zh-CN"/>
        </w:rPr>
        <w:t>和</w:t>
      </w:r>
      <w:r>
        <w:rPr>
          <w:rFonts w:hint="eastAsia" w:ascii="仿宋" w:hAnsi="仿宋" w:eastAsia="仿宋" w:cs="仿宋"/>
          <w:i w:val="0"/>
          <w:iCs w:val="0"/>
          <w:caps w:val="0"/>
          <w:color w:val="auto"/>
          <w:spacing w:val="0"/>
          <w:sz w:val="24"/>
          <w:szCs w:val="24"/>
          <w:highlight w:val="none"/>
        </w:rPr>
        <w:t>地点，开启时间和地点</w:t>
      </w:r>
    </w:p>
    <w:p w14:paraId="76230D8F">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1、时间：2025</w:t>
      </w:r>
      <w:r>
        <w:rPr>
          <w:rFonts w:hint="eastAsia" w:ascii="仿宋" w:hAnsi="仿宋" w:eastAsia="仿宋" w:cs="仿宋"/>
          <w:i w:val="0"/>
          <w:iCs w:val="0"/>
          <w:caps w:val="0"/>
          <w:color w:val="auto"/>
          <w:spacing w:val="0"/>
          <w:sz w:val="24"/>
          <w:szCs w:val="24"/>
          <w:highlight w:val="none"/>
        </w:rPr>
        <w:t>年</w:t>
      </w:r>
      <w:r>
        <w:rPr>
          <w:rFonts w:hint="eastAsia" w:ascii="仿宋" w:hAnsi="仿宋" w:eastAsia="仿宋" w:cs="仿宋"/>
          <w:i w:val="0"/>
          <w:iCs w:val="0"/>
          <w:caps w:val="0"/>
          <w:color w:val="auto"/>
          <w:spacing w:val="0"/>
          <w:sz w:val="24"/>
          <w:szCs w:val="24"/>
          <w:highlight w:val="none"/>
          <w:lang w:val="en-US" w:eastAsia="zh-CN"/>
        </w:rPr>
        <w:t>6月17日9时00分（北京时间）</w:t>
      </w:r>
    </w:p>
    <w:p w14:paraId="269D89B3">
      <w:pPr>
        <w:pStyle w:val="11"/>
        <w:keepNext w:val="0"/>
        <w:keepLines w:val="0"/>
        <w:widowControl/>
        <w:suppressLineNumbers w:val="0"/>
        <w:shd w:val="clear"/>
        <w:wordWrap w:val="0"/>
        <w:spacing w:before="55" w:beforeAutospacing="0" w:after="0" w:afterAutospacing="0" w:line="360" w:lineRule="auto"/>
        <w:ind w:left="0" w:right="0" w:firstLine="354"/>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2、地点：安徽省六安市金安区皖西路与长安路交叉口城投大厦18楼1808</w:t>
      </w:r>
    </w:p>
    <w:p w14:paraId="2EC7088E">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3、方式：响应文件应在截止时间前现场递交纸质响应文件</w:t>
      </w:r>
    </w:p>
    <w:p w14:paraId="1F2900E7">
      <w:pPr>
        <w:pStyle w:val="11"/>
        <w:keepNext w:val="0"/>
        <w:keepLines w:val="0"/>
        <w:widowControl/>
        <w:suppressLineNumbers w:val="0"/>
        <w:shd w:val="clear"/>
        <w:wordWrap w:val="0"/>
        <w:spacing w:before="55" w:beforeAutospacing="0" w:after="0" w:afterAutospacing="0" w:line="360" w:lineRule="auto"/>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七、公告期限</w:t>
      </w:r>
    </w:p>
    <w:p w14:paraId="30D315DE">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自本公告发布之日起</w:t>
      </w:r>
      <w:r>
        <w:rPr>
          <w:rFonts w:hint="eastAsia" w:ascii="仿宋" w:hAnsi="仿宋" w:eastAsia="仿宋" w:cs="仿宋"/>
          <w:i w:val="0"/>
          <w:iCs w:val="0"/>
          <w:caps w:val="0"/>
          <w:color w:val="auto"/>
          <w:spacing w:val="0"/>
          <w:sz w:val="24"/>
          <w:szCs w:val="24"/>
          <w:highlight w:val="none"/>
          <w:lang w:val="en-US" w:eastAsia="zh-CN"/>
        </w:rPr>
        <w:t>至</w:t>
      </w:r>
      <w:r>
        <w:rPr>
          <w:rFonts w:hint="eastAsia" w:ascii="仿宋" w:hAnsi="仿宋" w:eastAsia="仿宋" w:cs="仿宋"/>
          <w:i w:val="0"/>
          <w:iCs w:val="0"/>
          <w:caps w:val="0"/>
          <w:color w:val="auto"/>
          <w:spacing w:val="0"/>
          <w:sz w:val="24"/>
          <w:szCs w:val="24"/>
          <w:highlight w:val="none"/>
        </w:rPr>
        <w:t>开启时间</w:t>
      </w:r>
      <w:r>
        <w:rPr>
          <w:rFonts w:hint="eastAsia" w:ascii="仿宋" w:hAnsi="仿宋" w:eastAsia="仿宋" w:cs="仿宋"/>
          <w:i w:val="0"/>
          <w:iCs w:val="0"/>
          <w:caps w:val="0"/>
          <w:color w:val="auto"/>
          <w:spacing w:val="0"/>
          <w:sz w:val="24"/>
          <w:szCs w:val="24"/>
          <w:highlight w:val="none"/>
          <w:lang w:val="en-US" w:eastAsia="zh-CN"/>
        </w:rPr>
        <w:t>止。</w:t>
      </w:r>
    </w:p>
    <w:p w14:paraId="73BE0584">
      <w:pPr>
        <w:pStyle w:val="11"/>
        <w:keepNext w:val="0"/>
        <w:keepLines w:val="0"/>
        <w:widowControl/>
        <w:suppressLineNumbers w:val="0"/>
        <w:shd w:val="clear"/>
        <w:wordWrap w:val="0"/>
        <w:spacing w:before="55" w:beforeAutospacing="0" w:after="0" w:afterAutospacing="0" w:line="360" w:lineRule="auto"/>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八、其他补充事项</w:t>
      </w:r>
    </w:p>
    <w:p w14:paraId="224960BC">
      <w:pPr>
        <w:pStyle w:val="11"/>
        <w:keepNext w:val="0"/>
        <w:keepLines w:val="0"/>
        <w:widowControl/>
        <w:suppressLineNumbers w:val="0"/>
        <w:shd w:val="clear"/>
        <w:wordWrap w:val="0"/>
        <w:spacing w:before="55" w:beforeAutospacing="0" w:after="0" w:afterAutospacing="0" w:line="360" w:lineRule="auto"/>
        <w:ind w:left="0" w:right="0" w:firstLine="354"/>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1、本项目不接受联合体。</w:t>
      </w:r>
    </w:p>
    <w:p w14:paraId="3AFD5295">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2、除非征集文件认可，否则母、子公司之间的业绩、资质不得互用。</w:t>
      </w:r>
    </w:p>
    <w:p w14:paraId="3F6F658C">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3、单位负责人为同一人或者存在直接控股、管理关系的不同供应商，不得参加同一合同项下的征集活动。</w:t>
      </w:r>
    </w:p>
    <w:p w14:paraId="3B56A9A4">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4、响应保证金：本项目无需提供。</w:t>
      </w:r>
    </w:p>
    <w:p w14:paraId="1023A7D8">
      <w:pPr>
        <w:pStyle w:val="11"/>
        <w:keepNext w:val="0"/>
        <w:keepLines w:val="0"/>
        <w:widowControl/>
        <w:suppressLineNumbers w:val="0"/>
        <w:shd w:val="clear"/>
        <w:wordWrap w:val="0"/>
        <w:spacing w:before="55" w:beforeAutospacing="0" w:after="0" w:afterAutospacing="0" w:line="360" w:lineRule="auto"/>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九、凡对本次</w:t>
      </w:r>
      <w:r>
        <w:rPr>
          <w:rFonts w:hint="eastAsia" w:ascii="仿宋" w:hAnsi="仿宋" w:eastAsia="仿宋" w:cs="仿宋"/>
          <w:i w:val="0"/>
          <w:iCs w:val="0"/>
          <w:caps w:val="0"/>
          <w:color w:val="auto"/>
          <w:spacing w:val="0"/>
          <w:sz w:val="24"/>
          <w:szCs w:val="24"/>
          <w:highlight w:val="none"/>
          <w:lang w:val="en-US" w:eastAsia="zh-CN"/>
        </w:rPr>
        <w:t>征集活动</w:t>
      </w:r>
      <w:r>
        <w:rPr>
          <w:rFonts w:hint="eastAsia" w:ascii="仿宋" w:hAnsi="仿宋" w:eastAsia="仿宋" w:cs="仿宋"/>
          <w:i w:val="0"/>
          <w:iCs w:val="0"/>
          <w:caps w:val="0"/>
          <w:color w:val="auto"/>
          <w:spacing w:val="0"/>
          <w:sz w:val="24"/>
          <w:szCs w:val="24"/>
          <w:highlight w:val="none"/>
        </w:rPr>
        <w:t>提出询问，请按以下方式联系</w:t>
      </w:r>
    </w:p>
    <w:p w14:paraId="0F9258C0">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征集人信息</w:t>
      </w:r>
    </w:p>
    <w:p w14:paraId="25AC2F32">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征集人名称：</w:t>
      </w:r>
      <w:r>
        <w:rPr>
          <w:rFonts w:hint="eastAsia" w:ascii="仿宋" w:hAnsi="仿宋" w:eastAsia="仿宋" w:cs="仿宋"/>
          <w:i w:val="0"/>
          <w:iCs w:val="0"/>
          <w:caps w:val="0"/>
          <w:color w:val="auto"/>
          <w:spacing w:val="0"/>
          <w:sz w:val="24"/>
          <w:szCs w:val="24"/>
          <w:highlight w:val="none"/>
          <w:lang w:val="en-US" w:eastAsia="zh-CN"/>
        </w:rPr>
        <w:t>六安城市建设投资有限公司</w:t>
      </w:r>
    </w:p>
    <w:p w14:paraId="36D2C036">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征集人地址：</w:t>
      </w:r>
      <w:r>
        <w:rPr>
          <w:rFonts w:hint="eastAsia" w:ascii="仿宋" w:hAnsi="仿宋" w:eastAsia="仿宋" w:cs="仿宋"/>
          <w:i w:val="0"/>
          <w:iCs w:val="0"/>
          <w:caps w:val="0"/>
          <w:color w:val="auto"/>
          <w:spacing w:val="0"/>
          <w:sz w:val="24"/>
          <w:szCs w:val="24"/>
          <w:highlight w:val="none"/>
          <w:lang w:val="en-US" w:eastAsia="zh-CN"/>
        </w:rPr>
        <w:t>安徽省六安市金安区皖西路与长安路交叉口城投大厦18楼</w:t>
      </w:r>
    </w:p>
    <w:p w14:paraId="403F5734">
      <w:pPr>
        <w:pStyle w:val="11"/>
        <w:keepNext w:val="0"/>
        <w:keepLines w:val="0"/>
        <w:widowControl/>
        <w:suppressLineNumbers w:val="0"/>
        <w:shd w:val="clear"/>
        <w:wordWrap w:val="0"/>
        <w:spacing w:before="55" w:beforeAutospacing="0" w:after="0" w:afterAutospacing="0" w:line="360" w:lineRule="auto"/>
        <w:ind w:left="0" w:right="0" w:firstLine="354"/>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征集人联系人：张经理</w:t>
      </w:r>
    </w:p>
    <w:p w14:paraId="030EFDE4">
      <w:pPr>
        <w:pStyle w:val="11"/>
        <w:keepNext w:val="0"/>
        <w:keepLines w:val="0"/>
        <w:widowControl/>
        <w:suppressLineNumbers w:val="0"/>
        <w:shd w:val="clear"/>
        <w:wordWrap w:val="0"/>
        <w:spacing w:before="55" w:beforeAutospacing="0" w:after="0" w:afterAutospacing="0" w:line="360" w:lineRule="auto"/>
        <w:ind w:left="0" w:right="0" w:firstLine="354"/>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征集人联系方式：0564-</w:t>
      </w:r>
      <w:r>
        <w:rPr>
          <w:rFonts w:hint="eastAsia" w:ascii="仿宋" w:hAnsi="仿宋" w:eastAsia="仿宋" w:cs="仿宋"/>
          <w:i w:val="0"/>
          <w:iCs w:val="0"/>
          <w:caps w:val="0"/>
          <w:color w:val="auto"/>
          <w:spacing w:val="0"/>
          <w:sz w:val="24"/>
          <w:szCs w:val="24"/>
          <w:highlight w:val="none"/>
          <w:lang w:val="en-US" w:eastAsia="zh-CN"/>
        </w:rPr>
        <w:t>3360637</w:t>
      </w:r>
    </w:p>
    <w:p w14:paraId="2DD43DC8">
      <w:pPr>
        <w:shd w:val="clear"/>
        <w:jc w:val="right"/>
        <w:rPr>
          <w:rFonts w:hint="eastAsia" w:ascii="仿宋" w:hAnsi="仿宋" w:eastAsia="仿宋" w:cs="仿宋"/>
          <w:b/>
          <w:bCs/>
          <w:color w:val="auto"/>
          <w:spacing w:val="-4"/>
          <w:sz w:val="28"/>
          <w:szCs w:val="28"/>
          <w:highlight w:val="none"/>
          <w:lang w:val="en-US" w:eastAsia="zh-CN"/>
        </w:rPr>
      </w:pPr>
    </w:p>
    <w:p w14:paraId="434620B5">
      <w:pPr>
        <w:shd w:val="clear"/>
        <w:jc w:val="right"/>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2025年5月26日</w:t>
      </w:r>
    </w:p>
    <w:p w14:paraId="72D85485">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bookmarkStart w:id="5" w:name="_Toc22674"/>
      <w:bookmarkStart w:id="6" w:name="_Toc9967"/>
      <w:r>
        <w:rPr>
          <w:rFonts w:hint="eastAsia" w:ascii="仿宋" w:hAnsi="仿宋" w:eastAsia="仿宋" w:cs="仿宋"/>
          <w:b/>
          <w:bCs/>
          <w:snapToGrid/>
          <w:color w:val="auto"/>
          <w:sz w:val="36"/>
          <w:szCs w:val="36"/>
          <w:highlight w:val="none"/>
          <w:lang w:val="en-US" w:eastAsia="zh-CN"/>
        </w:rPr>
        <w:t>第一章 征集邀请</w:t>
      </w:r>
      <w:bookmarkEnd w:id="5"/>
      <w:bookmarkEnd w:id="6"/>
    </w:p>
    <w:p w14:paraId="22B1BE2C">
      <w:pPr>
        <w:shd w:val="clear"/>
        <w:spacing w:before="103" w:line="188" w:lineRule="auto"/>
        <w:ind w:left="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各潜在供应商：</w:t>
      </w:r>
    </w:p>
    <w:p w14:paraId="3C7FC9A2">
      <w:pPr>
        <w:pStyle w:val="3"/>
        <w:shd w:val="clear"/>
        <w:spacing w:line="278" w:lineRule="auto"/>
        <w:rPr>
          <w:rFonts w:hint="eastAsia" w:ascii="仿宋" w:hAnsi="仿宋" w:eastAsia="仿宋" w:cs="仿宋"/>
          <w:color w:val="auto"/>
          <w:highlight w:val="none"/>
        </w:rPr>
      </w:pPr>
    </w:p>
    <w:p w14:paraId="2E1B3F8C">
      <w:pPr>
        <w:shd w:val="clear"/>
        <w:spacing w:before="78" w:line="529" w:lineRule="auto"/>
        <w:ind w:left="8" w:firstLine="48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lang w:eastAsia="zh-CN"/>
        </w:rPr>
        <w:t>六安城市建设投资有限公司征集第三方咨询服务机构项目</w:t>
      </w:r>
      <w:r>
        <w:rPr>
          <w:rFonts w:hint="eastAsia" w:ascii="仿宋" w:hAnsi="仿宋" w:eastAsia="仿宋" w:cs="仿宋"/>
          <w:color w:val="auto"/>
          <w:sz w:val="24"/>
          <w:szCs w:val="24"/>
          <w:highlight w:val="none"/>
          <w:u w:val="single" w:color="auto"/>
        </w:rPr>
        <w:t>框架协议（订立封闭式框架协议）</w:t>
      </w:r>
      <w:r>
        <w:rPr>
          <w:rFonts w:hint="eastAsia" w:ascii="仿宋" w:hAnsi="仿宋" w:eastAsia="仿宋" w:cs="仿宋"/>
          <w:color w:val="auto"/>
          <w:sz w:val="24"/>
          <w:szCs w:val="24"/>
          <w:highlight w:val="none"/>
        </w:rPr>
        <w:t>征集</w:t>
      </w:r>
      <w:r>
        <w:rPr>
          <w:rFonts w:hint="eastAsia" w:ascii="仿宋" w:hAnsi="仿宋" w:eastAsia="仿宋" w:cs="仿宋"/>
          <w:color w:val="auto"/>
          <w:spacing w:val="-2"/>
          <w:sz w:val="24"/>
          <w:szCs w:val="24"/>
          <w:highlight w:val="none"/>
        </w:rPr>
        <w:t>公告已发布，现邀请符合条件的潜在供应商，于本项目征集公告发布</w:t>
      </w:r>
      <w:r>
        <w:rPr>
          <w:rFonts w:hint="eastAsia" w:ascii="仿宋" w:hAnsi="仿宋" w:eastAsia="仿宋" w:cs="仿宋"/>
          <w:color w:val="auto"/>
          <w:spacing w:val="-3"/>
          <w:sz w:val="24"/>
          <w:szCs w:val="24"/>
          <w:highlight w:val="none"/>
        </w:rPr>
        <w:t>之日起至响</w:t>
      </w:r>
      <w:r>
        <w:rPr>
          <w:rFonts w:hint="eastAsia" w:ascii="仿宋" w:hAnsi="仿宋" w:eastAsia="仿宋" w:cs="仿宋"/>
          <w:color w:val="auto"/>
          <w:spacing w:val="-1"/>
          <w:sz w:val="24"/>
          <w:szCs w:val="24"/>
          <w:highlight w:val="none"/>
        </w:rPr>
        <w:t>应文件提交截止时间前，按照征集公告要求，</w:t>
      </w:r>
      <w:r>
        <w:rPr>
          <w:rFonts w:hint="eastAsia" w:ascii="仿宋" w:hAnsi="仿宋" w:eastAsia="仿宋" w:cs="仿宋"/>
          <w:color w:val="auto"/>
          <w:spacing w:val="-2"/>
          <w:sz w:val="24"/>
          <w:szCs w:val="24"/>
          <w:highlight w:val="none"/>
        </w:rPr>
        <w:t>提交加入框架协议的申请。</w:t>
      </w:r>
    </w:p>
    <w:p w14:paraId="613530BE">
      <w:pPr>
        <w:pStyle w:val="3"/>
        <w:shd w:val="clear"/>
        <w:spacing w:line="410" w:lineRule="auto"/>
        <w:rPr>
          <w:rFonts w:hint="eastAsia" w:ascii="仿宋" w:hAnsi="仿宋" w:eastAsia="仿宋" w:cs="仿宋"/>
          <w:color w:val="auto"/>
          <w:highlight w:val="none"/>
        </w:rPr>
      </w:pPr>
    </w:p>
    <w:p w14:paraId="281B0D98">
      <w:pPr>
        <w:shd w:val="clear"/>
        <w:spacing w:before="78" w:line="220"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2025年</w:t>
      </w:r>
      <w:r>
        <w:rPr>
          <w:rFonts w:hint="eastAsia" w:ascii="仿宋" w:hAnsi="仿宋" w:eastAsia="仿宋" w:cs="仿宋"/>
          <w:color w:val="auto"/>
          <w:spacing w:val="-48"/>
          <w:sz w:val="24"/>
          <w:szCs w:val="24"/>
          <w:highlight w:val="none"/>
          <w:lang w:val="en-US" w:eastAsia="zh-CN"/>
        </w:rPr>
        <w:t>5</w:t>
      </w:r>
      <w:r>
        <w:rPr>
          <w:rFonts w:hint="eastAsia" w:ascii="仿宋" w:hAnsi="仿宋" w:eastAsia="仿宋" w:cs="仿宋"/>
          <w:color w:val="auto"/>
          <w:spacing w:val="-12"/>
          <w:sz w:val="24"/>
          <w:szCs w:val="24"/>
          <w:highlight w:val="none"/>
        </w:rPr>
        <w:t>月</w:t>
      </w:r>
      <w:r>
        <w:rPr>
          <w:rFonts w:hint="eastAsia" w:ascii="仿宋" w:hAnsi="仿宋" w:eastAsia="仿宋" w:cs="仿宋"/>
          <w:color w:val="auto"/>
          <w:spacing w:val="-48"/>
          <w:sz w:val="24"/>
          <w:szCs w:val="24"/>
          <w:highlight w:val="none"/>
          <w:lang w:val="en-US" w:eastAsia="zh-CN"/>
        </w:rPr>
        <w:t>26</w:t>
      </w:r>
      <w:r>
        <w:rPr>
          <w:rFonts w:hint="eastAsia" w:ascii="仿宋" w:hAnsi="仿宋" w:eastAsia="仿宋" w:cs="仿宋"/>
          <w:color w:val="auto"/>
          <w:spacing w:val="-12"/>
          <w:sz w:val="24"/>
          <w:szCs w:val="24"/>
          <w:highlight w:val="none"/>
        </w:rPr>
        <w:t>日</w:t>
      </w:r>
    </w:p>
    <w:p w14:paraId="2742A90D">
      <w:pPr>
        <w:shd w:val="clear"/>
        <w:spacing w:line="220" w:lineRule="auto"/>
        <w:rPr>
          <w:rFonts w:hint="eastAsia" w:ascii="仿宋" w:hAnsi="仿宋" w:eastAsia="仿宋" w:cs="仿宋"/>
          <w:color w:val="auto"/>
          <w:sz w:val="24"/>
          <w:szCs w:val="24"/>
          <w:highlight w:val="yellow"/>
        </w:rPr>
        <w:sectPr>
          <w:pgSz w:w="11906" w:h="16840"/>
          <w:pgMar w:top="1440" w:right="1080" w:bottom="1440" w:left="1080" w:header="0" w:footer="0" w:gutter="0"/>
          <w:cols w:space="0" w:num="1"/>
          <w:rtlGutter w:val="0"/>
          <w:docGrid w:linePitch="0" w:charSpace="0"/>
        </w:sectPr>
      </w:pPr>
    </w:p>
    <w:p w14:paraId="001A0DA7">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bookmarkStart w:id="7" w:name="bookmark3"/>
      <w:bookmarkEnd w:id="7"/>
      <w:bookmarkStart w:id="8" w:name="_Toc29568"/>
      <w:bookmarkStart w:id="9" w:name="_Toc4794"/>
      <w:r>
        <w:rPr>
          <w:rFonts w:hint="eastAsia" w:ascii="仿宋" w:hAnsi="仿宋" w:eastAsia="仿宋" w:cs="仿宋"/>
          <w:b/>
          <w:bCs/>
          <w:snapToGrid/>
          <w:color w:val="auto"/>
          <w:sz w:val="36"/>
          <w:szCs w:val="36"/>
          <w:highlight w:val="none"/>
          <w:lang w:val="en-US" w:eastAsia="zh-CN"/>
        </w:rPr>
        <w:t>第二章   资格条件</w:t>
      </w:r>
      <w:bookmarkEnd w:id="8"/>
      <w:bookmarkEnd w:id="9"/>
    </w:p>
    <w:p w14:paraId="5930B5FF">
      <w:pPr>
        <w:pStyle w:val="3"/>
        <w:shd w:val="clear"/>
        <w:spacing w:line="296" w:lineRule="auto"/>
        <w:rPr>
          <w:rFonts w:hint="eastAsia" w:ascii="仿宋" w:hAnsi="仿宋" w:eastAsia="仿宋" w:cs="仿宋"/>
          <w:color w:val="auto"/>
          <w:highlight w:val="none"/>
        </w:rPr>
      </w:pPr>
    </w:p>
    <w:p w14:paraId="43B3C9D3">
      <w:pPr>
        <w:pStyle w:val="3"/>
        <w:shd w:val="clear"/>
        <w:spacing w:line="297" w:lineRule="auto"/>
        <w:rPr>
          <w:rFonts w:hint="eastAsia" w:ascii="仿宋" w:hAnsi="仿宋" w:eastAsia="仿宋" w:cs="仿宋"/>
          <w:color w:val="auto"/>
          <w:highlight w:val="none"/>
        </w:rPr>
      </w:pPr>
    </w:p>
    <w:p w14:paraId="76ADB2DE">
      <w:pPr>
        <w:shd w:val="clear"/>
        <w:spacing w:before="78" w:line="455" w:lineRule="auto"/>
        <w:ind w:left="8" w:firstLine="481"/>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符合</w:t>
      </w:r>
      <w:r>
        <w:rPr>
          <w:rFonts w:hint="eastAsia" w:ascii="仿宋" w:hAnsi="仿宋" w:eastAsia="仿宋" w:cs="仿宋"/>
          <w:color w:val="auto"/>
          <w:spacing w:val="-2"/>
          <w:sz w:val="24"/>
          <w:szCs w:val="24"/>
          <w:highlight w:val="none"/>
          <w:lang w:val="en-US" w:eastAsia="zh-CN"/>
        </w:rPr>
        <w:t>征集公告</w:t>
      </w:r>
      <w:r>
        <w:rPr>
          <w:rFonts w:hint="eastAsia" w:ascii="仿宋" w:hAnsi="仿宋" w:eastAsia="仿宋" w:cs="仿宋"/>
          <w:color w:val="auto"/>
          <w:spacing w:val="-2"/>
          <w:sz w:val="24"/>
          <w:szCs w:val="24"/>
          <w:highlight w:val="none"/>
        </w:rPr>
        <w:t>供应商的资格条件，</w:t>
      </w:r>
      <w:r>
        <w:rPr>
          <w:rFonts w:hint="eastAsia" w:ascii="仿宋" w:hAnsi="仿宋" w:eastAsia="仿宋" w:cs="仿宋"/>
          <w:color w:val="auto"/>
          <w:spacing w:val="-5"/>
          <w:sz w:val="24"/>
          <w:szCs w:val="24"/>
          <w:highlight w:val="none"/>
        </w:rPr>
        <w:t>银行、保险、石油石</w:t>
      </w:r>
      <w:r>
        <w:rPr>
          <w:rFonts w:hint="eastAsia" w:ascii="仿宋" w:hAnsi="仿宋" w:eastAsia="仿宋" w:cs="仿宋"/>
          <w:color w:val="auto"/>
          <w:spacing w:val="-2"/>
          <w:sz w:val="24"/>
          <w:szCs w:val="24"/>
          <w:highlight w:val="none"/>
        </w:rPr>
        <w:t>化、电力、电信等特殊行业的分支机构参加本项目征集的须提供上级</w:t>
      </w:r>
      <w:r>
        <w:rPr>
          <w:rFonts w:hint="eastAsia" w:ascii="仿宋" w:hAnsi="仿宋" w:eastAsia="仿宋" w:cs="仿宋"/>
          <w:color w:val="auto"/>
          <w:spacing w:val="-3"/>
          <w:sz w:val="24"/>
          <w:szCs w:val="24"/>
          <w:highlight w:val="none"/>
        </w:rPr>
        <w:t>法人单位出</w:t>
      </w:r>
      <w:r>
        <w:rPr>
          <w:rFonts w:hint="eastAsia" w:ascii="仿宋" w:hAnsi="仿宋" w:eastAsia="仿宋" w:cs="仿宋"/>
          <w:color w:val="auto"/>
          <w:spacing w:val="-4"/>
          <w:sz w:val="24"/>
          <w:szCs w:val="24"/>
          <w:highlight w:val="none"/>
        </w:rPr>
        <w:t>具的授权证明。</w:t>
      </w:r>
      <w:r>
        <w:rPr>
          <w:rFonts w:hint="eastAsia" w:ascii="仿宋" w:hAnsi="仿宋" w:eastAsia="仿宋" w:cs="仿宋"/>
          <w:b/>
          <w:bCs/>
          <w:color w:val="auto"/>
          <w:spacing w:val="-4"/>
          <w:sz w:val="24"/>
          <w:szCs w:val="24"/>
          <w:highlight w:val="none"/>
        </w:rPr>
        <w:t>（响应文件中须提供有效期内的营业执照（或事</w:t>
      </w:r>
      <w:r>
        <w:rPr>
          <w:rFonts w:hint="eastAsia" w:ascii="仿宋" w:hAnsi="仿宋" w:eastAsia="仿宋" w:cs="仿宋"/>
          <w:b/>
          <w:bCs/>
          <w:color w:val="auto"/>
          <w:spacing w:val="-5"/>
          <w:sz w:val="24"/>
          <w:szCs w:val="24"/>
          <w:highlight w:val="none"/>
        </w:rPr>
        <w:t>业单位法人登记</w:t>
      </w:r>
      <w:r>
        <w:rPr>
          <w:rFonts w:hint="eastAsia" w:ascii="仿宋" w:hAnsi="仿宋" w:eastAsia="仿宋" w:cs="仿宋"/>
          <w:b/>
          <w:bCs/>
          <w:color w:val="auto"/>
          <w:spacing w:val="-3"/>
          <w:sz w:val="24"/>
          <w:szCs w:val="24"/>
          <w:highlight w:val="none"/>
        </w:rPr>
        <w:t>证书）的</w:t>
      </w:r>
      <w:r>
        <w:rPr>
          <w:rFonts w:hint="eastAsia" w:ascii="仿宋" w:hAnsi="仿宋" w:eastAsia="仿宋" w:cs="仿宋"/>
          <w:b/>
          <w:bCs/>
          <w:color w:val="auto"/>
          <w:spacing w:val="-3"/>
          <w:sz w:val="24"/>
          <w:szCs w:val="24"/>
          <w:highlight w:val="none"/>
          <w:lang w:val="en-US" w:eastAsia="zh-CN"/>
        </w:rPr>
        <w:t>复印件加盖公章和承诺函原件</w:t>
      </w:r>
      <w:r>
        <w:rPr>
          <w:rFonts w:hint="eastAsia" w:ascii="仿宋" w:hAnsi="仿宋" w:eastAsia="仿宋" w:cs="仿宋"/>
          <w:b/>
          <w:bCs/>
          <w:color w:val="auto"/>
          <w:spacing w:val="-3"/>
          <w:sz w:val="24"/>
          <w:szCs w:val="24"/>
          <w:highlight w:val="none"/>
        </w:rPr>
        <w:t>，否则申请无效）</w:t>
      </w:r>
    </w:p>
    <w:p w14:paraId="6269A107">
      <w:pPr>
        <w:shd w:val="clear"/>
        <w:spacing w:line="455" w:lineRule="auto"/>
        <w:rPr>
          <w:rFonts w:hint="eastAsia" w:ascii="仿宋" w:hAnsi="仿宋" w:eastAsia="仿宋" w:cs="仿宋"/>
          <w:color w:val="auto"/>
          <w:sz w:val="24"/>
          <w:szCs w:val="24"/>
          <w:highlight w:val="none"/>
        </w:rPr>
        <w:sectPr>
          <w:pgSz w:w="11906" w:h="16840"/>
          <w:pgMar w:top="1440" w:right="1080" w:bottom="1440" w:left="1080" w:header="0" w:footer="0" w:gutter="0"/>
          <w:cols w:space="0" w:num="1"/>
          <w:rtlGutter w:val="0"/>
          <w:docGrid w:linePitch="0" w:charSpace="0"/>
        </w:sectPr>
      </w:pPr>
    </w:p>
    <w:p w14:paraId="6B89C82E">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bookmarkStart w:id="10" w:name="bookmark5"/>
      <w:bookmarkEnd w:id="10"/>
      <w:bookmarkStart w:id="11" w:name="_Toc5402"/>
      <w:bookmarkStart w:id="12" w:name="_Toc467"/>
      <w:r>
        <w:rPr>
          <w:rFonts w:hint="eastAsia" w:ascii="仿宋" w:hAnsi="仿宋" w:eastAsia="仿宋" w:cs="仿宋"/>
          <w:b/>
          <w:bCs/>
          <w:snapToGrid/>
          <w:color w:val="auto"/>
          <w:sz w:val="36"/>
          <w:szCs w:val="36"/>
          <w:highlight w:val="none"/>
          <w:lang w:val="en-US" w:eastAsia="zh-CN"/>
        </w:rPr>
        <w:t>第三章 资格审查与符合性评审</w:t>
      </w:r>
      <w:bookmarkEnd w:id="11"/>
      <w:bookmarkEnd w:id="12"/>
    </w:p>
    <w:p w14:paraId="30C549F1">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auto"/>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auto"/>
          <w:lang w:val="en-US" w:eastAsia="zh-CN" w:bidi="ar"/>
        </w:rPr>
        <w:t>一、总则</w:t>
      </w:r>
    </w:p>
    <w:p w14:paraId="668D1E7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auto"/>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auto"/>
          <w:lang w:val="en-US" w:eastAsia="zh-CN" w:bidi="ar"/>
        </w:rPr>
        <w:t>本项目将按照征集文件的相关要求及本章的规定进行资格审查与符合性评审。</w:t>
      </w:r>
    </w:p>
    <w:p w14:paraId="734C324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auto"/>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auto"/>
          <w:lang w:val="en-US" w:eastAsia="zh-CN" w:bidi="ar"/>
        </w:rPr>
        <w:t>二、评审方法</w:t>
      </w:r>
    </w:p>
    <w:p w14:paraId="4E318A51">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auto"/>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auto"/>
          <w:lang w:val="en-US" w:eastAsia="zh-CN" w:bidi="ar"/>
        </w:rPr>
        <w:t>1、对供应商进行资格审查。资格审查表如下：</w:t>
      </w:r>
    </w:p>
    <w:tbl>
      <w:tblPr>
        <w:tblStyle w:val="15"/>
        <w:tblW w:w="9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630"/>
        <w:gridCol w:w="2601"/>
        <w:gridCol w:w="4184"/>
      </w:tblGrid>
      <w:tr w14:paraId="03D6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9160" w:type="dxa"/>
            <w:gridSpan w:val="4"/>
            <w:vAlign w:val="top"/>
          </w:tcPr>
          <w:p w14:paraId="11EDD076">
            <w:pPr>
              <w:pStyle w:val="14"/>
              <w:shd w:val="clear"/>
              <w:spacing w:before="212" w:line="220" w:lineRule="auto"/>
              <w:ind w:left="3631"/>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资格审查表</w:t>
            </w:r>
          </w:p>
        </w:tc>
      </w:tr>
      <w:tr w14:paraId="0E824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745" w:type="dxa"/>
            <w:vAlign w:val="top"/>
          </w:tcPr>
          <w:p w14:paraId="297F8FAC">
            <w:pPr>
              <w:pStyle w:val="14"/>
              <w:shd w:val="clear"/>
              <w:spacing w:before="150" w:line="221" w:lineRule="auto"/>
              <w:ind w:left="103"/>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1630" w:type="dxa"/>
            <w:vAlign w:val="top"/>
          </w:tcPr>
          <w:p w14:paraId="5D58D3D7">
            <w:pPr>
              <w:pStyle w:val="14"/>
              <w:shd w:val="clear"/>
              <w:spacing w:before="151" w:line="220" w:lineRule="auto"/>
              <w:ind w:left="26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评审指标</w:t>
            </w:r>
          </w:p>
        </w:tc>
        <w:tc>
          <w:tcPr>
            <w:tcW w:w="2601" w:type="dxa"/>
            <w:vAlign w:val="top"/>
          </w:tcPr>
          <w:p w14:paraId="1692CAF6">
            <w:pPr>
              <w:pStyle w:val="14"/>
              <w:shd w:val="clear"/>
              <w:spacing w:before="151" w:line="220" w:lineRule="auto"/>
              <w:ind w:left="718"/>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评审标准</w:t>
            </w:r>
          </w:p>
        </w:tc>
        <w:tc>
          <w:tcPr>
            <w:tcW w:w="4184" w:type="dxa"/>
            <w:vAlign w:val="top"/>
          </w:tcPr>
          <w:p w14:paraId="1132D122">
            <w:pPr>
              <w:pStyle w:val="14"/>
              <w:shd w:val="clear"/>
              <w:spacing w:before="150" w:line="219" w:lineRule="auto"/>
              <w:ind w:left="1087"/>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格式及材料要求</w:t>
            </w:r>
          </w:p>
        </w:tc>
      </w:tr>
      <w:tr w14:paraId="7AFA9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jc w:val="center"/>
        </w:trPr>
        <w:tc>
          <w:tcPr>
            <w:tcW w:w="745" w:type="dxa"/>
            <w:vAlign w:val="center"/>
          </w:tcPr>
          <w:p w14:paraId="7B1A50E0">
            <w:pPr>
              <w:pStyle w:val="14"/>
              <w:shd w:val="clear"/>
              <w:spacing w:before="78" w:line="240" w:lineRule="auto"/>
              <w:ind w:left="303"/>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1</w:t>
            </w:r>
          </w:p>
        </w:tc>
        <w:tc>
          <w:tcPr>
            <w:tcW w:w="1630" w:type="dxa"/>
            <w:vAlign w:val="center"/>
          </w:tcPr>
          <w:p w14:paraId="7F207514">
            <w:pPr>
              <w:pStyle w:val="14"/>
              <w:shd w:val="clear"/>
              <w:spacing w:before="319" w:line="240" w:lineRule="auto"/>
              <w:ind w:left="0" w:leftChars="0" w:firstLine="0" w:firstLineChars="0"/>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营业执照</w:t>
            </w:r>
          </w:p>
        </w:tc>
        <w:tc>
          <w:tcPr>
            <w:tcW w:w="2601" w:type="dxa"/>
            <w:vAlign w:val="center"/>
          </w:tcPr>
          <w:p w14:paraId="0F63FD4E">
            <w:pPr>
              <w:pStyle w:val="14"/>
              <w:shd w:val="clear"/>
              <w:spacing w:before="319" w:line="240" w:lineRule="auto"/>
              <w:ind w:left="0" w:leftChars="0" w:firstLine="0" w:firstLineChars="0"/>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合法有效</w:t>
            </w:r>
          </w:p>
        </w:tc>
        <w:tc>
          <w:tcPr>
            <w:tcW w:w="4184" w:type="dxa"/>
            <w:vMerge w:val="restart"/>
            <w:tcBorders>
              <w:bottom w:val="nil"/>
            </w:tcBorders>
            <w:vAlign w:val="center"/>
          </w:tcPr>
          <w:p w14:paraId="1030CFD9">
            <w:pPr>
              <w:pStyle w:val="14"/>
              <w:shd w:val="clear"/>
              <w:spacing w:before="116" w:line="240" w:lineRule="auto"/>
              <w:ind w:left="56" w:right="45"/>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提供有效的供应商营业执照（或事业</w:t>
            </w:r>
            <w:r>
              <w:rPr>
                <w:rFonts w:hint="eastAsia" w:ascii="仿宋" w:hAnsi="仿宋" w:eastAsia="仿宋" w:cs="仿宋"/>
                <w:color w:val="auto"/>
                <w:spacing w:val="9"/>
                <w:sz w:val="24"/>
                <w:szCs w:val="24"/>
                <w:highlight w:val="none"/>
              </w:rPr>
              <w:t>单位法人登记证书）和税务登记证</w:t>
            </w:r>
            <w:r>
              <w:rPr>
                <w:rFonts w:hint="eastAsia" w:ascii="仿宋" w:hAnsi="仿宋" w:eastAsia="仿宋" w:cs="仿宋"/>
                <w:color w:val="auto"/>
                <w:spacing w:val="-7"/>
                <w:sz w:val="24"/>
                <w:szCs w:val="24"/>
                <w:highlight w:val="none"/>
              </w:rPr>
              <w:t>的扫描件，应完整的体现出营业执照</w:t>
            </w:r>
            <w:r>
              <w:rPr>
                <w:rFonts w:hint="eastAsia" w:ascii="仿宋" w:hAnsi="仿宋" w:eastAsia="仿宋" w:cs="仿宋"/>
                <w:color w:val="auto"/>
                <w:spacing w:val="9"/>
                <w:sz w:val="24"/>
                <w:szCs w:val="24"/>
                <w:highlight w:val="none"/>
              </w:rPr>
              <w:t>（或事业单位法人登记证书）和税</w:t>
            </w:r>
            <w:r>
              <w:rPr>
                <w:rFonts w:hint="eastAsia" w:ascii="仿宋" w:hAnsi="仿宋" w:eastAsia="仿宋" w:cs="仿宋"/>
                <w:color w:val="auto"/>
                <w:spacing w:val="-7"/>
                <w:sz w:val="24"/>
                <w:szCs w:val="24"/>
                <w:highlight w:val="none"/>
              </w:rPr>
              <w:t>务登记证的全部内容。已办理“三证合一”登记的，响应文件中提供营业执照（或事业单位法人登记证书）</w:t>
            </w:r>
            <w:r>
              <w:rPr>
                <w:rFonts w:hint="eastAsia" w:ascii="仿宋" w:hAnsi="仿宋" w:eastAsia="仿宋" w:cs="仿宋"/>
                <w:color w:val="auto"/>
                <w:spacing w:val="-7"/>
                <w:sz w:val="24"/>
                <w:szCs w:val="24"/>
                <w:highlight w:val="none"/>
                <w:lang w:val="en-US" w:eastAsia="zh-CN"/>
              </w:rPr>
              <w:t>复印件加盖公章</w:t>
            </w:r>
            <w:r>
              <w:rPr>
                <w:rFonts w:hint="eastAsia" w:ascii="仿宋" w:hAnsi="仿宋" w:eastAsia="仿宋" w:cs="仿宋"/>
                <w:color w:val="auto"/>
                <w:spacing w:val="-8"/>
                <w:sz w:val="24"/>
                <w:szCs w:val="24"/>
                <w:highlight w:val="none"/>
              </w:rPr>
              <w:t>即可。</w:t>
            </w:r>
          </w:p>
        </w:tc>
      </w:tr>
      <w:tr w14:paraId="1E04C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jc w:val="center"/>
        </w:trPr>
        <w:tc>
          <w:tcPr>
            <w:tcW w:w="745" w:type="dxa"/>
            <w:vAlign w:val="center"/>
          </w:tcPr>
          <w:p w14:paraId="4BAEC0F9">
            <w:pPr>
              <w:pStyle w:val="14"/>
              <w:shd w:val="clear"/>
              <w:spacing w:before="78" w:line="240" w:lineRule="auto"/>
              <w:ind w:left="288"/>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2</w:t>
            </w:r>
          </w:p>
        </w:tc>
        <w:tc>
          <w:tcPr>
            <w:tcW w:w="1630" w:type="dxa"/>
            <w:vAlign w:val="center"/>
          </w:tcPr>
          <w:p w14:paraId="1B9AD444">
            <w:pPr>
              <w:pStyle w:val="14"/>
              <w:shd w:val="clear"/>
              <w:spacing w:before="319" w:line="240" w:lineRule="auto"/>
              <w:ind w:left="0" w:leftChars="0" w:firstLine="0" w:firstLineChars="0"/>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税务登记证</w:t>
            </w:r>
          </w:p>
        </w:tc>
        <w:tc>
          <w:tcPr>
            <w:tcW w:w="2601" w:type="dxa"/>
            <w:vAlign w:val="center"/>
          </w:tcPr>
          <w:p w14:paraId="61F014AE">
            <w:pPr>
              <w:pStyle w:val="14"/>
              <w:shd w:val="clear"/>
              <w:spacing w:before="319" w:line="240" w:lineRule="auto"/>
              <w:ind w:left="0" w:leftChars="0" w:firstLine="0" w:firstLineChars="0"/>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合法有效</w:t>
            </w:r>
          </w:p>
        </w:tc>
        <w:tc>
          <w:tcPr>
            <w:tcW w:w="4184" w:type="dxa"/>
            <w:vMerge w:val="continue"/>
            <w:tcBorders>
              <w:top w:val="nil"/>
            </w:tcBorders>
            <w:vAlign w:val="center"/>
          </w:tcPr>
          <w:p w14:paraId="2E384DF9">
            <w:pPr>
              <w:shd w:val="clear"/>
              <w:spacing w:line="240" w:lineRule="auto"/>
              <w:rPr>
                <w:rFonts w:hint="eastAsia" w:ascii="仿宋" w:hAnsi="仿宋" w:eastAsia="仿宋" w:cs="仿宋"/>
                <w:color w:val="auto"/>
                <w:sz w:val="24"/>
                <w:szCs w:val="24"/>
                <w:highlight w:val="none"/>
              </w:rPr>
            </w:pPr>
          </w:p>
        </w:tc>
      </w:tr>
      <w:tr w14:paraId="6AE92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745" w:type="dxa"/>
            <w:vAlign w:val="center"/>
          </w:tcPr>
          <w:p w14:paraId="35E8DD5C">
            <w:pPr>
              <w:shd w:val="clear"/>
              <w:spacing w:line="240" w:lineRule="auto"/>
              <w:rPr>
                <w:rFonts w:hint="eastAsia" w:ascii="仿宋" w:hAnsi="仿宋" w:eastAsia="仿宋" w:cs="仿宋"/>
                <w:color w:val="auto"/>
                <w:sz w:val="24"/>
                <w:szCs w:val="24"/>
                <w:highlight w:val="none"/>
              </w:rPr>
            </w:pPr>
          </w:p>
          <w:p w14:paraId="65C147A5">
            <w:pPr>
              <w:pStyle w:val="14"/>
              <w:shd w:val="clear"/>
              <w:spacing w:before="78" w:line="240" w:lineRule="auto"/>
              <w:ind w:left="2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30" w:type="dxa"/>
            <w:vAlign w:val="center"/>
          </w:tcPr>
          <w:p w14:paraId="3E5C982C">
            <w:pPr>
              <w:pStyle w:val="14"/>
              <w:shd w:val="clear"/>
              <w:spacing w:before="117" w:line="240" w:lineRule="auto"/>
              <w:ind w:left="53"/>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无重大违法、</w:t>
            </w:r>
          </w:p>
          <w:p w14:paraId="1D228ADF">
            <w:pPr>
              <w:pStyle w:val="14"/>
              <w:shd w:val="clear"/>
              <w:spacing w:before="113" w:line="240" w:lineRule="auto"/>
              <w:ind w:left="15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无不良信用</w:t>
            </w:r>
          </w:p>
          <w:p w14:paraId="6CC03452">
            <w:pPr>
              <w:pStyle w:val="14"/>
              <w:shd w:val="clear"/>
              <w:spacing w:before="114" w:line="240" w:lineRule="auto"/>
              <w:ind w:left="27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记录声明</w:t>
            </w:r>
          </w:p>
        </w:tc>
        <w:tc>
          <w:tcPr>
            <w:tcW w:w="2601" w:type="dxa"/>
            <w:vAlign w:val="center"/>
          </w:tcPr>
          <w:p w14:paraId="3665D16E">
            <w:pPr>
              <w:pStyle w:val="14"/>
              <w:shd w:val="clear"/>
              <w:spacing w:before="319" w:line="240" w:lineRule="auto"/>
              <w:ind w:left="0" w:leftChars="0" w:firstLine="0" w:firstLineChars="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格式、填写要求符合征集文件规定</w:t>
            </w:r>
          </w:p>
        </w:tc>
        <w:tc>
          <w:tcPr>
            <w:tcW w:w="4184" w:type="dxa"/>
            <w:vAlign w:val="center"/>
          </w:tcPr>
          <w:p w14:paraId="5D547CFC">
            <w:pPr>
              <w:pStyle w:val="14"/>
              <w:shd w:val="clear"/>
              <w:spacing w:before="319" w:line="240" w:lineRule="auto"/>
              <w:ind w:left="0" w:leftChars="0" w:firstLine="0" w:firstLineChars="0"/>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见响应文件格式</w:t>
            </w:r>
          </w:p>
        </w:tc>
      </w:tr>
      <w:tr w14:paraId="76D5D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745" w:type="dxa"/>
            <w:vAlign w:val="center"/>
          </w:tcPr>
          <w:p w14:paraId="1A82527E">
            <w:pPr>
              <w:shd w:val="clear"/>
              <w:spacing w:line="240" w:lineRule="auto"/>
              <w:rPr>
                <w:rFonts w:hint="eastAsia" w:ascii="仿宋" w:hAnsi="仿宋" w:eastAsia="仿宋" w:cs="仿宋"/>
                <w:color w:val="auto"/>
                <w:sz w:val="24"/>
                <w:szCs w:val="24"/>
                <w:highlight w:val="none"/>
              </w:rPr>
            </w:pPr>
          </w:p>
          <w:p w14:paraId="00DDE0D5">
            <w:pPr>
              <w:pStyle w:val="14"/>
              <w:shd w:val="clear"/>
              <w:spacing w:before="78" w:line="240" w:lineRule="auto"/>
              <w:ind w:left="284"/>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4</w:t>
            </w:r>
          </w:p>
        </w:tc>
        <w:tc>
          <w:tcPr>
            <w:tcW w:w="1630" w:type="dxa"/>
            <w:vAlign w:val="center"/>
          </w:tcPr>
          <w:p w14:paraId="1FCBA786">
            <w:pPr>
              <w:pStyle w:val="14"/>
              <w:shd w:val="clear"/>
              <w:spacing w:before="319" w:line="240" w:lineRule="auto"/>
              <w:ind w:left="27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其他要求</w:t>
            </w:r>
          </w:p>
        </w:tc>
        <w:tc>
          <w:tcPr>
            <w:tcW w:w="6785" w:type="dxa"/>
            <w:gridSpan w:val="2"/>
            <w:vAlign w:val="center"/>
          </w:tcPr>
          <w:p w14:paraId="558B196E">
            <w:pPr>
              <w:pStyle w:val="14"/>
              <w:shd w:val="clear"/>
              <w:spacing w:before="319" w:line="240" w:lineRule="auto"/>
              <w:ind w:left="0" w:leftChars="0" w:firstLine="0" w:firstLineChars="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符合法律、行政法规规定的其他条件或征集文件列明的其他要求。</w:t>
            </w:r>
          </w:p>
        </w:tc>
      </w:tr>
    </w:tbl>
    <w:p w14:paraId="7D4C6D70">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资格审查指标通过标准：</w:t>
      </w: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供应商须通过资格审查表中的全部评审指标。</w:t>
      </w:r>
    </w:p>
    <w:p w14:paraId="2D9E2E7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2、评审小组对通过资格审查的供应商的响应文件进行符合性评审，以确定其是否满足征集文件的实质性要求。符合性评审表如下：</w:t>
      </w:r>
    </w:p>
    <w:tbl>
      <w:tblPr>
        <w:tblStyle w:val="15"/>
        <w:tblW w:w="9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443"/>
        <w:gridCol w:w="4811"/>
        <w:gridCol w:w="2222"/>
      </w:tblGrid>
      <w:tr w14:paraId="6068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220" w:type="dxa"/>
            <w:gridSpan w:val="4"/>
            <w:vAlign w:val="top"/>
          </w:tcPr>
          <w:p w14:paraId="02CACAA9">
            <w:pPr>
              <w:pStyle w:val="14"/>
              <w:shd w:val="clear"/>
              <w:spacing w:before="196" w:line="220" w:lineRule="auto"/>
              <w:ind w:left="3715"/>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符合性评审表</w:t>
            </w:r>
          </w:p>
        </w:tc>
      </w:tr>
      <w:tr w14:paraId="708AF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744" w:type="dxa"/>
            <w:vAlign w:val="center"/>
          </w:tcPr>
          <w:p w14:paraId="48EC26BA">
            <w:pPr>
              <w:pStyle w:val="14"/>
              <w:shd w:val="clear"/>
              <w:spacing w:before="233" w:line="221" w:lineRule="auto"/>
              <w:ind w:left="121"/>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1443" w:type="dxa"/>
            <w:vAlign w:val="center"/>
          </w:tcPr>
          <w:p w14:paraId="581D02D3">
            <w:pPr>
              <w:pStyle w:val="14"/>
              <w:shd w:val="clear"/>
              <w:spacing w:before="234" w:line="220" w:lineRule="auto"/>
              <w:ind w:left="292"/>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评审指标</w:t>
            </w:r>
          </w:p>
        </w:tc>
        <w:tc>
          <w:tcPr>
            <w:tcW w:w="4811" w:type="dxa"/>
            <w:vAlign w:val="center"/>
          </w:tcPr>
          <w:p w14:paraId="39F3231F">
            <w:pPr>
              <w:pStyle w:val="14"/>
              <w:shd w:val="clear"/>
              <w:spacing w:before="234" w:line="220" w:lineRule="auto"/>
              <w:ind w:left="175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评审标准</w:t>
            </w:r>
          </w:p>
        </w:tc>
        <w:tc>
          <w:tcPr>
            <w:tcW w:w="2222" w:type="dxa"/>
            <w:vAlign w:val="center"/>
          </w:tcPr>
          <w:p w14:paraId="6EB72F9A">
            <w:pPr>
              <w:pStyle w:val="14"/>
              <w:shd w:val="clear"/>
              <w:spacing w:before="233" w:line="219" w:lineRule="auto"/>
              <w:ind w:left="23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格式及材料要求</w:t>
            </w:r>
          </w:p>
        </w:tc>
      </w:tr>
      <w:tr w14:paraId="6D345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744" w:type="dxa"/>
            <w:vAlign w:val="center"/>
          </w:tcPr>
          <w:p w14:paraId="7A676D68">
            <w:pPr>
              <w:pStyle w:val="14"/>
              <w:shd w:val="clear"/>
              <w:spacing w:before="285" w:line="182" w:lineRule="auto"/>
              <w:ind w:left="3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43" w:type="dxa"/>
            <w:vAlign w:val="center"/>
          </w:tcPr>
          <w:p w14:paraId="11557EA3">
            <w:pPr>
              <w:pStyle w:val="14"/>
              <w:shd w:val="clear"/>
              <w:spacing w:before="245" w:line="221"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响应函</w:t>
            </w:r>
          </w:p>
        </w:tc>
        <w:tc>
          <w:tcPr>
            <w:tcW w:w="4811" w:type="dxa"/>
            <w:vAlign w:val="center"/>
          </w:tcPr>
          <w:p w14:paraId="0ED90F4F">
            <w:pPr>
              <w:pStyle w:val="14"/>
              <w:shd w:val="clear"/>
              <w:spacing w:before="245" w:line="220" w:lineRule="auto"/>
              <w:ind w:left="44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格式、填写要求符合征集文件规定</w:t>
            </w:r>
          </w:p>
        </w:tc>
        <w:tc>
          <w:tcPr>
            <w:tcW w:w="2222" w:type="dxa"/>
            <w:vAlign w:val="center"/>
          </w:tcPr>
          <w:p w14:paraId="7ABDF7E0">
            <w:pPr>
              <w:pStyle w:val="14"/>
              <w:shd w:val="clear"/>
              <w:spacing w:before="245" w:line="220" w:lineRule="auto"/>
              <w:ind w:left="23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见响应文件格式</w:t>
            </w:r>
          </w:p>
        </w:tc>
      </w:tr>
      <w:tr w14:paraId="4BD17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744" w:type="dxa"/>
            <w:vAlign w:val="center"/>
          </w:tcPr>
          <w:p w14:paraId="1209E174">
            <w:pPr>
              <w:pStyle w:val="14"/>
              <w:shd w:val="clear"/>
              <w:spacing w:before="234" w:line="181" w:lineRule="auto"/>
              <w:ind w:left="3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3" w:type="dxa"/>
            <w:vAlign w:val="center"/>
          </w:tcPr>
          <w:p w14:paraId="33F1D469">
            <w:pPr>
              <w:pStyle w:val="14"/>
              <w:shd w:val="clear"/>
              <w:spacing w:before="193" w:line="219"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授权书</w:t>
            </w:r>
          </w:p>
        </w:tc>
        <w:tc>
          <w:tcPr>
            <w:tcW w:w="4811" w:type="dxa"/>
            <w:vAlign w:val="center"/>
          </w:tcPr>
          <w:p w14:paraId="0F928ECC">
            <w:pPr>
              <w:pStyle w:val="14"/>
              <w:shd w:val="clear"/>
              <w:spacing w:before="193" w:line="220" w:lineRule="auto"/>
              <w:ind w:left="44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格式、填写要求符合征集文件规定</w:t>
            </w:r>
          </w:p>
        </w:tc>
        <w:tc>
          <w:tcPr>
            <w:tcW w:w="2222" w:type="dxa"/>
            <w:vAlign w:val="center"/>
          </w:tcPr>
          <w:p w14:paraId="75EB99E3">
            <w:pPr>
              <w:pStyle w:val="14"/>
              <w:shd w:val="clear"/>
              <w:spacing w:before="193" w:line="220" w:lineRule="auto"/>
              <w:ind w:left="23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见响应文件格式</w:t>
            </w:r>
          </w:p>
        </w:tc>
      </w:tr>
      <w:tr w14:paraId="74D72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744" w:type="dxa"/>
            <w:vAlign w:val="center"/>
          </w:tcPr>
          <w:p w14:paraId="2EE03725">
            <w:pPr>
              <w:shd w:val="clear"/>
              <w:spacing w:line="254" w:lineRule="auto"/>
              <w:rPr>
                <w:rFonts w:hint="eastAsia" w:ascii="仿宋" w:hAnsi="仿宋" w:eastAsia="仿宋" w:cs="仿宋"/>
                <w:color w:val="auto"/>
                <w:sz w:val="24"/>
                <w:szCs w:val="24"/>
                <w:highlight w:val="none"/>
              </w:rPr>
            </w:pPr>
          </w:p>
          <w:p w14:paraId="7E61C080">
            <w:pPr>
              <w:pStyle w:val="14"/>
              <w:shd w:val="clear"/>
              <w:spacing w:before="78" w:line="181" w:lineRule="auto"/>
              <w:ind w:left="308"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3" w:type="dxa"/>
            <w:vAlign w:val="center"/>
          </w:tcPr>
          <w:p w14:paraId="108B5CCF">
            <w:pPr>
              <w:pStyle w:val="14"/>
              <w:shd w:val="clear"/>
              <w:spacing w:before="78" w:line="220" w:lineRule="auto"/>
              <w:ind w:left="0" w:leftChars="0" w:firstLine="0" w:firstLineChars="0"/>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商务响应情况</w:t>
            </w:r>
          </w:p>
        </w:tc>
        <w:tc>
          <w:tcPr>
            <w:tcW w:w="4811" w:type="dxa"/>
            <w:vAlign w:val="center"/>
          </w:tcPr>
          <w:p w14:paraId="28572529">
            <w:pPr>
              <w:pStyle w:val="14"/>
              <w:shd w:val="clear"/>
              <w:tabs>
                <w:tab w:val="left" w:pos="4620"/>
              </w:tabs>
              <w:spacing w:before="147" w:line="285" w:lineRule="auto"/>
              <w:ind w:left="220" w:leftChars="0" w:right="187" w:rightChars="89" w:firstLine="0" w:firstLineChars="0"/>
              <w:jc w:val="both"/>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符合征集文件采购需求中对付款方式</w:t>
            </w:r>
            <w:r>
              <w:rPr>
                <w:rFonts w:hint="eastAsia" w:ascii="仿宋" w:hAnsi="仿宋" w:eastAsia="仿宋" w:cs="仿宋"/>
                <w:color w:val="auto"/>
                <w:spacing w:val="-7"/>
                <w:sz w:val="24"/>
                <w:szCs w:val="24"/>
                <w:highlight w:val="none"/>
              </w:rPr>
              <w:t>，框架协议期限，合同服务地点。</w:t>
            </w:r>
          </w:p>
        </w:tc>
        <w:tc>
          <w:tcPr>
            <w:tcW w:w="2222" w:type="dxa"/>
            <w:vAlign w:val="center"/>
          </w:tcPr>
          <w:p w14:paraId="603F8830">
            <w:pPr>
              <w:pStyle w:val="14"/>
              <w:shd w:val="clear"/>
              <w:spacing w:before="78" w:line="220" w:lineRule="auto"/>
              <w:ind w:left="238" w:leftChars="0"/>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val="en-US" w:eastAsia="zh-CN"/>
              </w:rPr>
              <w:t>格式自拟</w:t>
            </w:r>
          </w:p>
        </w:tc>
      </w:tr>
      <w:tr w14:paraId="0124F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744" w:type="dxa"/>
            <w:vAlign w:val="center"/>
          </w:tcPr>
          <w:p w14:paraId="2219AC67">
            <w:pPr>
              <w:pStyle w:val="14"/>
              <w:shd w:val="clear"/>
              <w:spacing w:before="78" w:line="181" w:lineRule="auto"/>
              <w:ind w:left="30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3" w:type="dxa"/>
            <w:vAlign w:val="center"/>
          </w:tcPr>
          <w:p w14:paraId="751E55A0">
            <w:pPr>
              <w:pStyle w:val="14"/>
              <w:shd w:val="clear"/>
              <w:spacing w:before="78" w:line="220" w:lineRule="auto"/>
              <w:ind w:left="0" w:leftChars="0" w:firstLine="0" w:firstLineChars="0"/>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其他要求</w:t>
            </w:r>
          </w:p>
        </w:tc>
        <w:tc>
          <w:tcPr>
            <w:tcW w:w="7033" w:type="dxa"/>
            <w:gridSpan w:val="2"/>
            <w:vAlign w:val="center"/>
          </w:tcPr>
          <w:p w14:paraId="100C317C">
            <w:pPr>
              <w:pStyle w:val="14"/>
              <w:shd w:val="clear"/>
              <w:spacing w:before="141" w:line="271" w:lineRule="auto"/>
              <w:ind w:left="35" w:leftChars="0" w:right="25" w:rightChars="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符合法律、行政法规规定的其他条件或征集文件列明的其他要</w:t>
            </w:r>
            <w:r>
              <w:rPr>
                <w:rFonts w:hint="eastAsia" w:ascii="仿宋" w:hAnsi="仿宋" w:eastAsia="仿宋" w:cs="仿宋"/>
                <w:color w:val="auto"/>
                <w:spacing w:val="-12"/>
                <w:sz w:val="24"/>
                <w:szCs w:val="24"/>
                <w:highlight w:val="none"/>
              </w:rPr>
              <w:t>求。</w:t>
            </w:r>
          </w:p>
        </w:tc>
      </w:tr>
    </w:tbl>
    <w:p w14:paraId="37E2F223">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符合性评审指标通过标准：</w:t>
      </w: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供应商必须通过符合性评审表中的全部评审指标。</w:t>
      </w:r>
      <w:bookmarkStart w:id="13" w:name="bookmark7"/>
      <w:bookmarkEnd w:id="13"/>
      <w:bookmarkStart w:id="14" w:name="_Toc19512"/>
      <w:bookmarkStart w:id="15" w:name="_Toc5991"/>
    </w:p>
    <w:p w14:paraId="1BB95F65">
      <w:pPr>
        <w:rPr>
          <w:rFonts w:hint="eastAsia" w:ascii="仿宋" w:hAnsi="仿宋" w:eastAsia="仿宋" w:cs="仿宋"/>
          <w:b/>
          <w:bCs/>
          <w:snapToGrid/>
          <w:color w:val="auto"/>
          <w:sz w:val="36"/>
          <w:szCs w:val="36"/>
          <w:highlight w:val="none"/>
          <w:lang w:val="en-US" w:eastAsia="zh-CN"/>
        </w:rPr>
      </w:pPr>
      <w:r>
        <w:rPr>
          <w:rFonts w:hint="eastAsia" w:ascii="仿宋" w:hAnsi="仿宋" w:eastAsia="仿宋" w:cs="仿宋"/>
          <w:b/>
          <w:bCs/>
          <w:snapToGrid/>
          <w:color w:val="auto"/>
          <w:sz w:val="36"/>
          <w:szCs w:val="36"/>
          <w:highlight w:val="none"/>
          <w:lang w:val="en-US" w:eastAsia="zh-CN"/>
        </w:rPr>
        <w:br w:type="page"/>
      </w:r>
    </w:p>
    <w:p w14:paraId="251B9750">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60" w:lineRule="exact"/>
        <w:ind w:left="0" w:firstLine="0" w:firstLineChars="0"/>
        <w:jc w:val="center"/>
        <w:textAlignment w:val="auto"/>
        <w:outlineLvl w:val="0"/>
        <w:rPr>
          <w:rFonts w:hint="eastAsia" w:ascii="仿宋" w:hAnsi="仿宋" w:eastAsia="仿宋" w:cs="仿宋"/>
          <w:b/>
          <w:bCs/>
          <w:snapToGrid/>
          <w:color w:val="auto"/>
          <w:sz w:val="36"/>
          <w:szCs w:val="36"/>
          <w:highlight w:val="none"/>
          <w:lang w:val="en-US" w:eastAsia="zh-CN"/>
        </w:rPr>
      </w:pPr>
      <w:r>
        <w:rPr>
          <w:rFonts w:hint="eastAsia" w:ascii="仿宋" w:hAnsi="仿宋" w:eastAsia="仿宋" w:cs="仿宋"/>
          <w:b/>
          <w:bCs/>
          <w:snapToGrid/>
          <w:color w:val="auto"/>
          <w:sz w:val="36"/>
          <w:szCs w:val="36"/>
          <w:highlight w:val="none"/>
          <w:lang w:val="en-US" w:eastAsia="zh-CN"/>
        </w:rPr>
        <w:t>第四章  第一阶段入围评审办法</w:t>
      </w:r>
      <w:bookmarkEnd w:id="14"/>
      <w:bookmarkEnd w:id="15"/>
    </w:p>
    <w:p w14:paraId="0B5E4122">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一、征集会</w:t>
      </w:r>
    </w:p>
    <w:p w14:paraId="34DB8C99">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default" w:ascii="仿宋" w:hAnsi="仿宋" w:eastAsia="仿宋" w:cs="仿宋"/>
          <w:b/>
          <w:bCs/>
          <w:i w:val="0"/>
          <w:iCs w:val="0"/>
          <w:caps w:val="0"/>
          <w:snapToGrid/>
          <w:color w:val="auto"/>
          <w:spacing w:val="0"/>
          <w:kern w:val="0"/>
          <w:sz w:val="24"/>
          <w:szCs w:val="24"/>
          <w:highlight w:val="none"/>
          <w:u w:val="doubl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u w:val="double"/>
          <w:shd w:val="clear" w:color="auto" w:fill="FFFFFF"/>
          <w:lang w:val="en-US" w:eastAsia="zh-CN" w:bidi="ar"/>
        </w:rPr>
        <w:t>各供应商派1名代表参加本项目征集会，参加的代表须持响应授权书（原件，法人到场无需提供）、本人身份证（原件）、营业执照（原件）参加征集会，凡征集会现场无法提供前述原件资料的视为响应资格无效，响应文件退回。</w:t>
      </w:r>
    </w:p>
    <w:p w14:paraId="4735FCB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二、评审程序</w:t>
      </w:r>
    </w:p>
    <w:p w14:paraId="45CFE27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1、评审人员是按规定组成的三人或三人以上单数的评审小组。</w:t>
      </w:r>
    </w:p>
    <w:p w14:paraId="7BFC639B">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2、征集人（或代理机构）按照征集文件规定的时间、地点举行征集会，现场公布所有参加本次征集活动的供应商。</w:t>
      </w:r>
    </w:p>
    <w:p w14:paraId="1EE19305">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3、评审小组对各供应商的响应文件进行综合评审。</w:t>
      </w:r>
    </w:p>
    <w:p w14:paraId="644048DF">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4、公布评审结果及入围供应商。</w:t>
      </w:r>
    </w:p>
    <w:p w14:paraId="589C0B13">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三、评审方法及标准</w:t>
      </w:r>
    </w:p>
    <w:p w14:paraId="7FFFADE3">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本次采用</w:t>
      </w: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质量优先法</w:t>
      </w: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确定第一阶段入围供应商。质量优先法是指对满足采购需求、服务进行质量综合评分，按照质量评分从高到低排序，根据征集文件规定的入围供应商数量上限，确定入围供应商的评审方法。</w:t>
      </w:r>
    </w:p>
    <w:p w14:paraId="0928DF1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四、入围供应商数量上限</w:t>
      </w:r>
    </w:p>
    <w:p w14:paraId="7D57D4EB">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根据符合资格条件、实质性要求的供应商最终质量评分由高到低进行排序， 淘汰率不低于 20%，且至少淘汰一家供应商（向上取整，例如：</w:t>
      </w:r>
      <w:r>
        <w:rPr>
          <w:rFonts w:hint="default" w:ascii="仿宋" w:hAnsi="仿宋" w:eastAsia="仿宋" w:cs="仿宋"/>
          <w:i w:val="0"/>
          <w:iCs w:val="0"/>
          <w:caps w:val="0"/>
          <w:snapToGrid/>
          <w:color w:val="auto"/>
          <w:spacing w:val="0"/>
          <w:kern w:val="0"/>
          <w:sz w:val="24"/>
          <w:szCs w:val="24"/>
          <w:highlight w:val="none"/>
          <w:shd w:val="clear" w:color="auto" w:fill="FFFFFF"/>
          <w:lang w:val="en-US" w:eastAsia="zh-CN" w:bidi="ar"/>
        </w:rPr>
        <w:t xml:space="preserve">8 </w:t>
      </w: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 xml:space="preserve">家供应商通过资格审查、符合性审查，按 </w:t>
      </w:r>
      <w:r>
        <w:rPr>
          <w:rFonts w:hint="default" w:ascii="仿宋" w:hAnsi="仿宋" w:eastAsia="仿宋" w:cs="仿宋"/>
          <w:i w:val="0"/>
          <w:iCs w:val="0"/>
          <w:caps w:val="0"/>
          <w:snapToGrid/>
          <w:color w:val="auto"/>
          <w:spacing w:val="0"/>
          <w:kern w:val="0"/>
          <w:sz w:val="24"/>
          <w:szCs w:val="24"/>
          <w:highlight w:val="none"/>
          <w:shd w:val="clear" w:color="auto" w:fill="FFFFFF"/>
          <w:lang w:val="en-US" w:eastAsia="zh-CN" w:bidi="ar"/>
        </w:rPr>
        <w:t>20%</w:t>
      </w: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 xml:space="preserve">淘汰比例应该淘汰 </w:t>
      </w:r>
      <w:r>
        <w:rPr>
          <w:rFonts w:hint="default" w:ascii="仿宋" w:hAnsi="仿宋" w:eastAsia="仿宋" w:cs="仿宋"/>
          <w:i w:val="0"/>
          <w:iCs w:val="0"/>
          <w:caps w:val="0"/>
          <w:snapToGrid/>
          <w:color w:val="auto"/>
          <w:spacing w:val="0"/>
          <w:kern w:val="0"/>
          <w:sz w:val="24"/>
          <w:szCs w:val="24"/>
          <w:highlight w:val="none"/>
          <w:shd w:val="clear" w:color="auto" w:fill="FFFFFF"/>
          <w:lang w:val="en-US" w:eastAsia="zh-CN" w:bidi="ar"/>
        </w:rPr>
        <w:t xml:space="preserve">1.6 </w:t>
      </w: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 xml:space="preserve">家，向上取整后淘汰 </w:t>
      </w:r>
      <w:r>
        <w:rPr>
          <w:rFonts w:hint="default" w:ascii="仿宋" w:hAnsi="仿宋" w:eastAsia="仿宋" w:cs="仿宋"/>
          <w:i w:val="0"/>
          <w:iCs w:val="0"/>
          <w:caps w:val="0"/>
          <w:snapToGrid/>
          <w:color w:val="auto"/>
          <w:spacing w:val="0"/>
          <w:kern w:val="0"/>
          <w:sz w:val="24"/>
          <w:szCs w:val="24"/>
          <w:highlight w:val="none"/>
          <w:shd w:val="clear" w:color="auto" w:fill="FFFFFF"/>
          <w:lang w:val="en-US" w:eastAsia="zh-CN" w:bidi="ar"/>
        </w:rPr>
        <w:t xml:space="preserve">2 </w:t>
      </w: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 xml:space="preserve">家）。 </w:t>
      </w:r>
    </w:p>
    <w:p w14:paraId="62E23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left"/>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五、评审细则</w:t>
      </w:r>
    </w:p>
    <w:p w14:paraId="3E589FCA">
      <w:pPr>
        <w:shd w:val="clear"/>
        <w:spacing w:line="32" w:lineRule="exact"/>
        <w:rPr>
          <w:rFonts w:hint="eastAsia" w:ascii="仿宋" w:hAnsi="仿宋" w:eastAsia="仿宋" w:cs="仿宋"/>
          <w:color w:val="auto"/>
          <w:highlight w:val="none"/>
        </w:rPr>
      </w:pPr>
    </w:p>
    <w:p w14:paraId="16E2A8D4">
      <w:pPr>
        <w:pStyle w:val="3"/>
        <w:shd w:val="clear"/>
        <w:rPr>
          <w:rFonts w:hint="eastAsia" w:ascii="仿宋" w:hAnsi="仿宋" w:eastAsia="仿宋" w:cs="仿宋"/>
          <w:color w:val="auto"/>
          <w:highlight w:val="none"/>
        </w:rPr>
      </w:pPr>
    </w:p>
    <w:tbl>
      <w:tblPr>
        <w:tblStyle w:val="12"/>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59"/>
        <w:gridCol w:w="2006"/>
        <w:gridCol w:w="5294"/>
      </w:tblGrid>
      <w:tr w14:paraId="7EA1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9" w:type="dxa"/>
            <w:tcMar>
              <w:top w:w="60" w:type="dxa"/>
              <w:left w:w="120" w:type="dxa"/>
              <w:bottom w:w="30" w:type="dxa"/>
              <w:right w:w="120" w:type="dxa"/>
            </w:tcMar>
          </w:tcPr>
          <w:p w14:paraId="08DED7A0">
            <w:pPr>
              <w:pStyle w:val="16"/>
              <w:shd w:val="clea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评分项目</w:t>
            </w:r>
          </w:p>
        </w:tc>
        <w:tc>
          <w:tcPr>
            <w:tcW w:w="2006" w:type="dxa"/>
            <w:tcMar>
              <w:top w:w="60" w:type="dxa"/>
              <w:left w:w="120" w:type="dxa"/>
              <w:bottom w:w="30" w:type="dxa"/>
              <w:right w:w="120" w:type="dxa"/>
            </w:tcMar>
          </w:tcPr>
          <w:p w14:paraId="497C17D1">
            <w:pPr>
              <w:pStyle w:val="16"/>
              <w:shd w:val="clea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5294" w:type="dxa"/>
            <w:tcMar>
              <w:top w:w="60" w:type="dxa"/>
              <w:left w:w="120" w:type="dxa"/>
              <w:bottom w:w="30" w:type="dxa"/>
              <w:right w:w="120" w:type="dxa"/>
            </w:tcMar>
          </w:tcPr>
          <w:p w14:paraId="310DAE11">
            <w:pPr>
              <w:pStyle w:val="16"/>
              <w:shd w:val="clea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r>
      <w:tr w14:paraId="2681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9" w:type="dxa"/>
            <w:tcMar>
              <w:top w:w="60" w:type="dxa"/>
              <w:left w:w="120" w:type="dxa"/>
              <w:bottom w:w="30" w:type="dxa"/>
              <w:right w:w="120" w:type="dxa"/>
            </w:tcMar>
            <w:vAlign w:val="center"/>
          </w:tcPr>
          <w:p w14:paraId="5BF14F30">
            <w:pPr>
              <w:pStyle w:val="16"/>
              <w:shd w:val="clea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服务方案</w:t>
            </w:r>
          </w:p>
        </w:tc>
        <w:tc>
          <w:tcPr>
            <w:tcW w:w="2006" w:type="dxa"/>
            <w:tcMar>
              <w:top w:w="60" w:type="dxa"/>
              <w:left w:w="120" w:type="dxa"/>
              <w:bottom w:w="30" w:type="dxa"/>
              <w:right w:w="120" w:type="dxa"/>
            </w:tcMar>
            <w:vAlign w:val="center"/>
          </w:tcPr>
          <w:p w14:paraId="757EAB14">
            <w:pPr>
              <w:pStyle w:val="16"/>
              <w:shd w:val="clea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 xml:space="preserve"> 分</w:t>
            </w:r>
          </w:p>
        </w:tc>
        <w:tc>
          <w:tcPr>
            <w:tcW w:w="5294" w:type="dxa"/>
            <w:tcMar>
              <w:top w:w="60" w:type="dxa"/>
              <w:left w:w="120" w:type="dxa"/>
              <w:bottom w:w="30" w:type="dxa"/>
              <w:right w:w="120" w:type="dxa"/>
            </w:tcMar>
          </w:tcPr>
          <w:p w14:paraId="453515A3">
            <w:pPr>
              <w:pStyle w:val="16"/>
              <w:shd w:val="clea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评审小组根据征集文件和供应商提供的</w:t>
            </w:r>
            <w:r>
              <w:rPr>
                <w:rFonts w:hint="eastAsia" w:ascii="仿宋" w:hAnsi="仿宋" w:eastAsia="仿宋" w:cs="仿宋"/>
                <w:color w:val="auto"/>
                <w:sz w:val="21"/>
                <w:szCs w:val="21"/>
                <w:highlight w:val="none"/>
              </w:rPr>
              <w:t>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内容包括但不限于</w:t>
            </w:r>
            <w:r>
              <w:rPr>
                <w:rFonts w:hint="eastAsia" w:ascii="仿宋" w:hAnsi="仿宋" w:eastAsia="仿宋" w:cs="仿宋"/>
                <w:color w:val="auto"/>
                <w:sz w:val="21"/>
                <w:szCs w:val="21"/>
                <w:highlight w:val="none"/>
              </w:rPr>
              <w:t>招标代理、清单及控制价编制工作的详细流程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质量控制措施、增值服务等方面）进行综合评分：</w:t>
            </w:r>
          </w:p>
          <w:p w14:paraId="04C3B7A6">
            <w:pPr>
              <w:pStyle w:val="16"/>
              <w:shd w:val="clea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（1）方案优于本项目采购需求，完整详细，可行性、实用性、针对性强，得20-30分； </w:t>
            </w:r>
          </w:p>
          <w:p w14:paraId="5BDFDEBF">
            <w:pPr>
              <w:pStyle w:val="16"/>
              <w:shd w:val="clea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（2）对本项目特点和难点理解基本准确，方案适合本项目采购需求，完整详细，具有可行性、实用性和针对性，得 10-19分； </w:t>
            </w:r>
          </w:p>
          <w:p w14:paraId="3148FD08">
            <w:pPr>
              <w:pStyle w:val="16"/>
              <w:shd w:val="clea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（3）对本项目特点和难点理解有待提升，方案基本适合本项目采购需求，可行性、实用性、针对性有待改善，得 1-9分； </w:t>
            </w:r>
          </w:p>
          <w:p w14:paraId="3A4EF064">
            <w:pPr>
              <w:pStyle w:val="16"/>
              <w:shd w:val="clea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（4）方案不可行或者未提供得 0 分。</w:t>
            </w:r>
          </w:p>
        </w:tc>
      </w:tr>
      <w:tr w14:paraId="1625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9" w:type="dxa"/>
            <w:tcMar>
              <w:top w:w="60" w:type="dxa"/>
              <w:left w:w="120" w:type="dxa"/>
              <w:bottom w:w="30" w:type="dxa"/>
              <w:right w:w="120" w:type="dxa"/>
            </w:tcMar>
            <w:vAlign w:val="center"/>
          </w:tcPr>
          <w:p w14:paraId="186F027D">
            <w:pPr>
              <w:pStyle w:val="16"/>
              <w:shd w:val="clea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w:t>
            </w:r>
            <w:r>
              <w:rPr>
                <w:rFonts w:hint="eastAsia" w:ascii="仿宋" w:hAnsi="仿宋" w:eastAsia="仿宋" w:cs="仿宋"/>
                <w:color w:val="auto"/>
                <w:sz w:val="21"/>
                <w:szCs w:val="21"/>
                <w:highlight w:val="none"/>
                <w:lang w:val="en-US" w:eastAsia="zh-CN"/>
              </w:rPr>
              <w:t>招标代理业绩</w:t>
            </w:r>
          </w:p>
        </w:tc>
        <w:tc>
          <w:tcPr>
            <w:tcW w:w="2006" w:type="dxa"/>
            <w:tcMar>
              <w:top w:w="60" w:type="dxa"/>
              <w:left w:w="120" w:type="dxa"/>
              <w:bottom w:w="30" w:type="dxa"/>
              <w:right w:w="120" w:type="dxa"/>
            </w:tcMar>
            <w:vAlign w:val="center"/>
          </w:tcPr>
          <w:p w14:paraId="16C641C8">
            <w:pPr>
              <w:pStyle w:val="16"/>
              <w:shd w:val="clea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5294" w:type="dxa"/>
            <w:tcMar>
              <w:top w:w="60" w:type="dxa"/>
              <w:left w:w="120" w:type="dxa"/>
              <w:bottom w:w="30" w:type="dxa"/>
              <w:right w:w="120" w:type="dxa"/>
            </w:tcMar>
          </w:tcPr>
          <w:p w14:paraId="4294F9E8">
            <w:pPr>
              <w:pStyle w:val="16"/>
              <w:shd w:val="clea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近 </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内（以招标公告发布时间为准）供应商</w:t>
            </w:r>
            <w:r>
              <w:rPr>
                <w:rFonts w:hint="eastAsia" w:ascii="仿宋" w:hAnsi="仿宋" w:eastAsia="仿宋" w:cs="仿宋"/>
                <w:color w:val="auto"/>
                <w:sz w:val="21"/>
                <w:szCs w:val="21"/>
                <w:highlight w:val="none"/>
              </w:rPr>
              <w:t>承担过</w:t>
            </w:r>
            <w:r>
              <w:rPr>
                <w:rFonts w:hint="eastAsia" w:ascii="仿宋" w:hAnsi="仿宋" w:eastAsia="仿宋" w:cs="仿宋"/>
                <w:color w:val="auto"/>
                <w:sz w:val="21"/>
                <w:szCs w:val="21"/>
                <w:highlight w:val="none"/>
                <w:lang w:val="en-US" w:eastAsia="zh-CN"/>
              </w:rPr>
              <w:t>2亿元及以上</w:t>
            </w:r>
            <w:r>
              <w:rPr>
                <w:rFonts w:hint="eastAsia" w:ascii="仿宋" w:hAnsi="仿宋" w:eastAsia="仿宋" w:cs="仿宋"/>
                <w:color w:val="auto"/>
                <w:sz w:val="21"/>
                <w:szCs w:val="21"/>
                <w:highlight w:val="none"/>
              </w:rPr>
              <w:t>招标代理</w:t>
            </w:r>
            <w:r>
              <w:rPr>
                <w:rFonts w:hint="eastAsia" w:ascii="仿宋" w:hAnsi="仿宋" w:eastAsia="仿宋" w:cs="仿宋"/>
                <w:color w:val="auto"/>
                <w:sz w:val="21"/>
                <w:szCs w:val="21"/>
                <w:highlight w:val="none"/>
                <w:lang w:val="en-US" w:eastAsia="zh-CN"/>
              </w:rPr>
              <w:t>业绩</w:t>
            </w:r>
            <w:r>
              <w:rPr>
                <w:rFonts w:hint="eastAsia" w:ascii="仿宋" w:hAnsi="仿宋" w:eastAsia="仿宋" w:cs="仿宋"/>
                <w:color w:val="auto"/>
                <w:sz w:val="21"/>
                <w:szCs w:val="21"/>
                <w:highlight w:val="none"/>
              </w:rPr>
              <w:t>，每个得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此项</w:t>
            </w:r>
            <w:r>
              <w:rPr>
                <w:rFonts w:hint="eastAsia" w:ascii="仿宋" w:hAnsi="仿宋" w:eastAsia="仿宋" w:cs="仿宋"/>
                <w:color w:val="auto"/>
                <w:sz w:val="21"/>
                <w:szCs w:val="21"/>
                <w:highlight w:val="none"/>
              </w:rPr>
              <w:t>最高得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2483749F">
            <w:pPr>
              <w:pStyle w:val="16"/>
              <w:shd w:val="clea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注：响应文件中需提供在公共资源交易网站发布的招标公告和中标通知书原件复印件并加盖公章；评审时提供前述原件资料供评审人员现场查验；证明资料不符合要求或未提供的不得分。</w:t>
            </w:r>
          </w:p>
        </w:tc>
      </w:tr>
      <w:tr w14:paraId="5987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9" w:type="dxa"/>
            <w:tcMar>
              <w:top w:w="60" w:type="dxa"/>
              <w:left w:w="120" w:type="dxa"/>
              <w:bottom w:w="30" w:type="dxa"/>
              <w:right w:w="120" w:type="dxa"/>
            </w:tcMar>
            <w:vAlign w:val="center"/>
          </w:tcPr>
          <w:p w14:paraId="5AA32530">
            <w:pPr>
              <w:pStyle w:val="16"/>
              <w:shd w:val="clea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企业造价咨询业绩</w:t>
            </w:r>
          </w:p>
        </w:tc>
        <w:tc>
          <w:tcPr>
            <w:tcW w:w="2006" w:type="dxa"/>
            <w:tcMar>
              <w:top w:w="60" w:type="dxa"/>
              <w:left w:w="120" w:type="dxa"/>
              <w:bottom w:w="30" w:type="dxa"/>
              <w:right w:w="120" w:type="dxa"/>
            </w:tcMar>
            <w:vAlign w:val="center"/>
          </w:tcPr>
          <w:p w14:paraId="3E2D5F4D">
            <w:pPr>
              <w:pStyle w:val="16"/>
              <w:shd w:val="clear"/>
              <w:ind w:left="0"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 xml:space="preserve"> 分</w:t>
            </w:r>
          </w:p>
        </w:tc>
        <w:tc>
          <w:tcPr>
            <w:tcW w:w="5294" w:type="dxa"/>
            <w:tcMar>
              <w:top w:w="60" w:type="dxa"/>
              <w:left w:w="120" w:type="dxa"/>
              <w:bottom w:w="30" w:type="dxa"/>
              <w:right w:w="120" w:type="dxa"/>
            </w:tcMar>
            <w:vAlign w:val="top"/>
          </w:tcPr>
          <w:p w14:paraId="015A912E">
            <w:pPr>
              <w:pStyle w:val="16"/>
              <w:shd w:val="clear"/>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近 </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内（以造价成果文件出具时间为准）供应商</w:t>
            </w:r>
            <w:r>
              <w:rPr>
                <w:rFonts w:hint="eastAsia" w:ascii="仿宋" w:hAnsi="仿宋" w:eastAsia="仿宋" w:cs="仿宋"/>
                <w:color w:val="auto"/>
                <w:sz w:val="21"/>
                <w:szCs w:val="21"/>
                <w:highlight w:val="none"/>
              </w:rPr>
              <w:t>承担</w:t>
            </w:r>
            <w:r>
              <w:rPr>
                <w:rFonts w:hint="eastAsia" w:ascii="仿宋" w:hAnsi="仿宋" w:eastAsia="仿宋" w:cs="仿宋"/>
                <w:color w:val="auto"/>
                <w:sz w:val="21"/>
                <w:szCs w:val="21"/>
                <w:highlight w:val="none"/>
                <w:lang w:val="en-US" w:eastAsia="zh-CN"/>
              </w:rPr>
              <w:t>过金额在2亿元及以上</w:t>
            </w:r>
            <w:r>
              <w:rPr>
                <w:rFonts w:hint="eastAsia" w:ascii="仿宋" w:hAnsi="仿宋" w:eastAsia="仿宋" w:cs="仿宋"/>
                <w:color w:val="auto"/>
                <w:sz w:val="21"/>
                <w:szCs w:val="21"/>
                <w:highlight w:val="none"/>
              </w:rPr>
              <w:t>清单及控制价编制</w:t>
            </w:r>
            <w:r>
              <w:rPr>
                <w:rFonts w:hint="eastAsia" w:ascii="仿宋" w:hAnsi="仿宋" w:eastAsia="仿宋" w:cs="仿宋"/>
                <w:color w:val="auto"/>
                <w:sz w:val="21"/>
                <w:szCs w:val="21"/>
                <w:highlight w:val="none"/>
                <w:lang w:val="en-US" w:eastAsia="zh-CN"/>
              </w:rPr>
              <w:t>业绩的</w:t>
            </w:r>
            <w:r>
              <w:rPr>
                <w:rFonts w:hint="eastAsia" w:ascii="仿宋" w:hAnsi="仿宋" w:eastAsia="仿宋" w:cs="仿宋"/>
                <w:color w:val="auto"/>
                <w:sz w:val="21"/>
                <w:szCs w:val="21"/>
                <w:highlight w:val="none"/>
              </w:rPr>
              <w:t>，每个得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此项</w:t>
            </w:r>
            <w:r>
              <w:rPr>
                <w:rFonts w:hint="eastAsia" w:ascii="仿宋" w:hAnsi="仿宋" w:eastAsia="仿宋" w:cs="仿宋"/>
                <w:color w:val="auto"/>
                <w:sz w:val="21"/>
                <w:szCs w:val="21"/>
                <w:highlight w:val="none"/>
              </w:rPr>
              <w:t xml:space="preserve">最高得 </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06EAA7F8">
            <w:pPr>
              <w:pStyle w:val="16"/>
              <w:shd w:val="clear"/>
              <w:ind w:left="0" w:lef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注：响应文件中需提供</w:t>
            </w:r>
            <w:r>
              <w:rPr>
                <w:rFonts w:hint="eastAsia" w:ascii="仿宋" w:hAnsi="仿宋" w:eastAsia="仿宋" w:cs="仿宋"/>
                <w:color w:val="auto"/>
                <w:sz w:val="21"/>
                <w:szCs w:val="21"/>
                <w:highlight w:val="none"/>
              </w:rPr>
              <w:t>清单及控制价编制</w:t>
            </w:r>
            <w:r>
              <w:rPr>
                <w:rFonts w:hint="eastAsia" w:ascii="仿宋" w:hAnsi="仿宋" w:eastAsia="仿宋" w:cs="仿宋"/>
                <w:color w:val="auto"/>
                <w:sz w:val="21"/>
                <w:szCs w:val="21"/>
                <w:highlight w:val="none"/>
                <w:lang w:val="en-US" w:eastAsia="zh-CN"/>
              </w:rPr>
              <w:t>业绩响应文件中需提供合同原件复印件并加盖公章和预算成果文件关键页复印件并加盖公章；评审时提供前述原件资料供评审人员现场查验；证明资料不符合要求或未提供的不得分。</w:t>
            </w:r>
          </w:p>
        </w:tc>
      </w:tr>
      <w:tr w14:paraId="64B8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9" w:type="dxa"/>
            <w:shd w:val="clear" w:color="auto" w:fill="auto"/>
            <w:tcMar>
              <w:top w:w="60" w:type="dxa"/>
              <w:left w:w="120" w:type="dxa"/>
              <w:bottom w:w="30" w:type="dxa"/>
              <w:right w:w="120" w:type="dxa"/>
            </w:tcMar>
            <w:vAlign w:val="center"/>
          </w:tcPr>
          <w:p w14:paraId="35CD09B8">
            <w:pPr>
              <w:pStyle w:val="16"/>
              <w:shd w:val="clear"/>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项目招标代理负责人</w:t>
            </w:r>
          </w:p>
          <w:p w14:paraId="34D48B4D">
            <w:pPr>
              <w:pStyle w:val="16"/>
              <w:shd w:val="clear"/>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tc>
        <w:tc>
          <w:tcPr>
            <w:tcW w:w="2006" w:type="dxa"/>
            <w:shd w:val="clear" w:color="auto" w:fill="auto"/>
            <w:tcMar>
              <w:top w:w="60" w:type="dxa"/>
              <w:left w:w="120" w:type="dxa"/>
              <w:bottom w:w="30" w:type="dxa"/>
              <w:right w:w="120" w:type="dxa"/>
            </w:tcMar>
            <w:vAlign w:val="center"/>
          </w:tcPr>
          <w:p w14:paraId="2AF59348">
            <w:pPr>
              <w:pStyle w:val="16"/>
              <w:shd w:val="clear"/>
              <w:ind w:left="0"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5294" w:type="dxa"/>
            <w:shd w:val="clear" w:color="auto" w:fill="auto"/>
            <w:tcMar>
              <w:top w:w="60" w:type="dxa"/>
              <w:left w:w="120" w:type="dxa"/>
              <w:bottom w:w="30" w:type="dxa"/>
              <w:right w:w="120" w:type="dxa"/>
            </w:tcMar>
            <w:vAlign w:val="top"/>
          </w:tcPr>
          <w:p w14:paraId="74AD4BC6">
            <w:pPr>
              <w:pStyle w:val="16"/>
              <w:shd w:val="clear"/>
              <w:ind w:left="0" w:lef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近</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内（以招标公告发布时间为准）参与过2亿元及以上</w:t>
            </w:r>
            <w:r>
              <w:rPr>
                <w:rFonts w:hint="eastAsia" w:ascii="仿宋" w:hAnsi="仿宋" w:eastAsia="仿宋" w:cs="仿宋"/>
                <w:color w:val="auto"/>
                <w:sz w:val="21"/>
                <w:szCs w:val="21"/>
                <w:highlight w:val="none"/>
              </w:rPr>
              <w:t>招标代理</w:t>
            </w:r>
            <w:r>
              <w:rPr>
                <w:rFonts w:hint="eastAsia" w:ascii="仿宋" w:hAnsi="仿宋" w:eastAsia="仿宋" w:cs="仿宋"/>
                <w:color w:val="auto"/>
                <w:sz w:val="21"/>
                <w:szCs w:val="21"/>
                <w:highlight w:val="none"/>
                <w:lang w:val="en-US" w:eastAsia="zh-CN"/>
              </w:rPr>
              <w:t>业绩</w:t>
            </w:r>
            <w:r>
              <w:rPr>
                <w:rFonts w:hint="eastAsia" w:ascii="仿宋" w:hAnsi="仿宋" w:eastAsia="仿宋" w:cs="仿宋"/>
                <w:color w:val="auto"/>
                <w:sz w:val="21"/>
                <w:szCs w:val="21"/>
                <w:highlight w:val="none"/>
              </w:rPr>
              <w:t>，每</w:t>
            </w:r>
            <w:r>
              <w:rPr>
                <w:rFonts w:hint="eastAsia" w:ascii="仿宋" w:hAnsi="仿宋" w:eastAsia="仿宋" w:cs="仿宋"/>
                <w:color w:val="auto"/>
                <w:sz w:val="21"/>
                <w:szCs w:val="21"/>
                <w:highlight w:val="none"/>
                <w:lang w:val="en-US" w:eastAsia="zh-CN"/>
              </w:rPr>
              <w:t>提供一</w:t>
            </w:r>
            <w:r>
              <w:rPr>
                <w:rFonts w:hint="eastAsia" w:ascii="仿宋" w:hAnsi="仿宋" w:eastAsia="仿宋" w:cs="仿宋"/>
                <w:color w:val="auto"/>
                <w:sz w:val="21"/>
                <w:szCs w:val="21"/>
                <w:highlight w:val="none"/>
              </w:rPr>
              <w:t>个得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本小项满分12分</w:t>
            </w:r>
            <w:r>
              <w:rPr>
                <w:rFonts w:hint="eastAsia" w:ascii="仿宋" w:hAnsi="仿宋" w:eastAsia="仿宋" w:cs="仿宋"/>
                <w:color w:val="auto"/>
                <w:sz w:val="21"/>
                <w:szCs w:val="21"/>
                <w:highlight w:val="none"/>
                <w:lang w:eastAsia="zh-CN"/>
              </w:rPr>
              <w:t>）</w:t>
            </w:r>
          </w:p>
          <w:p w14:paraId="19C157C2">
            <w:pPr>
              <w:pStyle w:val="16"/>
              <w:shd w:val="clear"/>
              <w:ind w:left="0" w:lef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注：响应文件中需提供在公共资源交易网站发布的招标公告和公共资源交易系统中项目注册中开评标服务人员截图；证明资料不符合要求或未提供的不得分。</w:t>
            </w:r>
          </w:p>
        </w:tc>
      </w:tr>
      <w:tr w14:paraId="3267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9" w:type="dxa"/>
            <w:shd w:val="clear" w:color="auto" w:fill="auto"/>
            <w:tcMar>
              <w:top w:w="60" w:type="dxa"/>
              <w:left w:w="120" w:type="dxa"/>
              <w:bottom w:w="30" w:type="dxa"/>
              <w:right w:w="120" w:type="dxa"/>
            </w:tcMar>
            <w:vAlign w:val="center"/>
          </w:tcPr>
          <w:p w14:paraId="5D33FFA2">
            <w:pPr>
              <w:pStyle w:val="16"/>
              <w:shd w:val="clear"/>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项目造价咨询负责人</w:t>
            </w:r>
          </w:p>
          <w:p w14:paraId="689164DD">
            <w:pPr>
              <w:pStyle w:val="16"/>
              <w:shd w:val="clear"/>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tc>
        <w:tc>
          <w:tcPr>
            <w:tcW w:w="2006" w:type="dxa"/>
            <w:shd w:val="clear" w:color="auto" w:fill="auto"/>
            <w:tcMar>
              <w:top w:w="60" w:type="dxa"/>
              <w:left w:w="120" w:type="dxa"/>
              <w:bottom w:w="30" w:type="dxa"/>
              <w:right w:w="120" w:type="dxa"/>
            </w:tcMar>
            <w:vAlign w:val="center"/>
          </w:tcPr>
          <w:p w14:paraId="5B44FBAE">
            <w:pPr>
              <w:pStyle w:val="16"/>
              <w:shd w:val="clear"/>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5294" w:type="dxa"/>
            <w:shd w:val="clear" w:color="auto" w:fill="auto"/>
            <w:tcMar>
              <w:top w:w="60" w:type="dxa"/>
              <w:left w:w="120" w:type="dxa"/>
              <w:bottom w:w="30" w:type="dxa"/>
              <w:right w:w="120" w:type="dxa"/>
            </w:tcMar>
            <w:vAlign w:val="top"/>
          </w:tcPr>
          <w:p w14:paraId="7C30319A">
            <w:pPr>
              <w:pStyle w:val="16"/>
              <w:numPr>
                <w:ilvl w:val="0"/>
                <w:numId w:val="0"/>
              </w:numPr>
              <w:shd w:val="clear"/>
              <w:ind w:left="0" w:lef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近 </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内（以造价成果文件出具时间为准）参与过2亿元及以上</w:t>
            </w:r>
            <w:r>
              <w:rPr>
                <w:rFonts w:hint="eastAsia" w:ascii="仿宋" w:hAnsi="仿宋" w:eastAsia="仿宋" w:cs="仿宋"/>
                <w:color w:val="auto"/>
                <w:sz w:val="21"/>
                <w:szCs w:val="21"/>
                <w:highlight w:val="none"/>
              </w:rPr>
              <w:t>清单及控制价编制</w:t>
            </w:r>
            <w:r>
              <w:rPr>
                <w:rFonts w:hint="eastAsia" w:ascii="仿宋" w:hAnsi="仿宋" w:eastAsia="仿宋" w:cs="仿宋"/>
                <w:color w:val="auto"/>
                <w:sz w:val="21"/>
                <w:szCs w:val="21"/>
                <w:highlight w:val="none"/>
                <w:lang w:val="en-US" w:eastAsia="zh-CN"/>
              </w:rPr>
              <w:t>业绩的</w:t>
            </w:r>
            <w:r>
              <w:rPr>
                <w:rFonts w:hint="eastAsia" w:ascii="仿宋" w:hAnsi="仿宋" w:eastAsia="仿宋" w:cs="仿宋"/>
                <w:color w:val="auto"/>
                <w:sz w:val="21"/>
                <w:szCs w:val="21"/>
                <w:highlight w:val="none"/>
              </w:rPr>
              <w:t>，每</w:t>
            </w:r>
            <w:r>
              <w:rPr>
                <w:rFonts w:hint="eastAsia" w:ascii="仿宋" w:hAnsi="仿宋" w:eastAsia="仿宋" w:cs="仿宋"/>
                <w:color w:val="auto"/>
                <w:sz w:val="21"/>
                <w:szCs w:val="21"/>
                <w:highlight w:val="none"/>
                <w:lang w:val="en-US" w:eastAsia="zh-CN"/>
              </w:rPr>
              <w:t>提供一</w:t>
            </w:r>
            <w:r>
              <w:rPr>
                <w:rFonts w:hint="eastAsia" w:ascii="仿宋" w:hAnsi="仿宋" w:eastAsia="仿宋" w:cs="仿宋"/>
                <w:color w:val="auto"/>
                <w:sz w:val="21"/>
                <w:szCs w:val="21"/>
                <w:highlight w:val="none"/>
              </w:rPr>
              <w:t>个得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本小项满分12分</w:t>
            </w:r>
            <w:r>
              <w:rPr>
                <w:rFonts w:hint="eastAsia" w:ascii="仿宋" w:hAnsi="仿宋" w:eastAsia="仿宋" w:cs="仿宋"/>
                <w:color w:val="auto"/>
                <w:sz w:val="21"/>
                <w:szCs w:val="21"/>
                <w:highlight w:val="none"/>
                <w:lang w:eastAsia="zh-CN"/>
              </w:rPr>
              <w:t>）</w:t>
            </w:r>
          </w:p>
          <w:p w14:paraId="1958410B">
            <w:pPr>
              <w:pStyle w:val="16"/>
              <w:numPr>
                <w:ilvl w:val="0"/>
                <w:numId w:val="0"/>
              </w:numPr>
              <w:shd w:val="clea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注：响应文件中需提供控制价成果文件关键页复印件并加盖公章，且前述资料须能够体现人员信息；证明资料不符合要求或未提供的不得分。</w:t>
            </w:r>
          </w:p>
        </w:tc>
      </w:tr>
      <w:tr w14:paraId="1205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9" w:type="dxa"/>
            <w:shd w:val="clear" w:color="auto" w:fill="auto"/>
            <w:tcMar>
              <w:top w:w="60" w:type="dxa"/>
              <w:left w:w="120" w:type="dxa"/>
              <w:bottom w:w="30" w:type="dxa"/>
              <w:right w:w="120" w:type="dxa"/>
            </w:tcMar>
            <w:vAlign w:val="center"/>
          </w:tcPr>
          <w:p w14:paraId="65F6B8C8">
            <w:pPr>
              <w:pStyle w:val="16"/>
              <w:shd w:val="clear"/>
              <w:ind w:left="0" w:lef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服务团队素养</w:t>
            </w:r>
          </w:p>
        </w:tc>
        <w:tc>
          <w:tcPr>
            <w:tcW w:w="2006" w:type="dxa"/>
            <w:shd w:val="clear" w:color="auto" w:fill="auto"/>
            <w:tcMar>
              <w:top w:w="60" w:type="dxa"/>
              <w:left w:w="120" w:type="dxa"/>
              <w:bottom w:w="30" w:type="dxa"/>
              <w:right w:w="120" w:type="dxa"/>
            </w:tcMar>
            <w:vAlign w:val="center"/>
          </w:tcPr>
          <w:p w14:paraId="260F1CFD">
            <w:pPr>
              <w:pStyle w:val="16"/>
              <w:shd w:val="clear"/>
              <w:ind w:left="0" w:lef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12分</w:t>
            </w:r>
          </w:p>
        </w:tc>
        <w:tc>
          <w:tcPr>
            <w:tcW w:w="5294" w:type="dxa"/>
            <w:shd w:val="clear" w:color="auto" w:fill="auto"/>
            <w:tcMar>
              <w:top w:w="60" w:type="dxa"/>
              <w:left w:w="120" w:type="dxa"/>
              <w:bottom w:w="30" w:type="dxa"/>
              <w:right w:w="120" w:type="dxa"/>
            </w:tcMar>
            <w:vAlign w:val="top"/>
          </w:tcPr>
          <w:p w14:paraId="0130FA3D">
            <w:pPr>
              <w:pStyle w:val="16"/>
              <w:numPr>
                <w:ilvl w:val="0"/>
                <w:numId w:val="0"/>
              </w:numPr>
              <w:shd w:val="clea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供应商拟配备服务人员满足本项目采购需求的，得12分；不满足不得分。</w:t>
            </w:r>
          </w:p>
          <w:p w14:paraId="5D374C16">
            <w:pPr>
              <w:pStyle w:val="16"/>
              <w:numPr>
                <w:ilvl w:val="0"/>
                <w:numId w:val="0"/>
              </w:numPr>
              <w:shd w:val="clear"/>
              <w:jc w:val="both"/>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1"/>
                <w:szCs w:val="21"/>
                <w:highlight w:val="none"/>
                <w:lang w:val="en-US" w:eastAsia="zh-CN"/>
              </w:rPr>
              <w:t>注：响应文件需提供相关人员证书原件复印件并加盖公章；评审时提供前述证书原件资料供评审人员现场查验；证明资料不符合要求或未提供的不得分。</w:t>
            </w:r>
          </w:p>
        </w:tc>
      </w:tr>
      <w:tr w14:paraId="676A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159" w:type="dxa"/>
            <w:shd w:val="clear" w:color="auto" w:fill="auto"/>
            <w:tcMar>
              <w:top w:w="60" w:type="dxa"/>
              <w:left w:w="120" w:type="dxa"/>
              <w:bottom w:w="30" w:type="dxa"/>
              <w:right w:w="120" w:type="dxa"/>
            </w:tcMar>
            <w:vAlign w:val="center"/>
          </w:tcPr>
          <w:p w14:paraId="14AFD8C4">
            <w:pPr>
              <w:pStyle w:val="16"/>
              <w:shd w:val="clear"/>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企业荣誉</w:t>
            </w:r>
          </w:p>
        </w:tc>
        <w:tc>
          <w:tcPr>
            <w:tcW w:w="2006" w:type="dxa"/>
            <w:shd w:val="clear" w:color="auto" w:fill="auto"/>
            <w:tcMar>
              <w:top w:w="60" w:type="dxa"/>
              <w:left w:w="120" w:type="dxa"/>
              <w:bottom w:w="30" w:type="dxa"/>
              <w:right w:w="120" w:type="dxa"/>
            </w:tcMar>
            <w:vAlign w:val="center"/>
          </w:tcPr>
          <w:p w14:paraId="7064B1E4">
            <w:pPr>
              <w:pStyle w:val="16"/>
              <w:shd w:val="clear"/>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c>
          <w:tcPr>
            <w:tcW w:w="5294" w:type="dxa"/>
            <w:shd w:val="clear" w:color="auto" w:fill="auto"/>
            <w:tcMar>
              <w:top w:w="60" w:type="dxa"/>
              <w:left w:w="120" w:type="dxa"/>
              <w:bottom w:w="30" w:type="dxa"/>
              <w:right w:w="120" w:type="dxa"/>
            </w:tcMar>
            <w:vAlign w:val="top"/>
          </w:tcPr>
          <w:p w14:paraId="0BCF390C">
            <w:pPr>
              <w:pStyle w:val="16"/>
              <w:shd w:val="clear"/>
              <w:ind w:left="0" w:lef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近3年内获得省级及以上招标代理或造价管理协会颁发的先进单位或者优秀单位得5分，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本小项满分5分</w:t>
            </w:r>
            <w:r>
              <w:rPr>
                <w:rFonts w:hint="eastAsia" w:ascii="仿宋" w:hAnsi="仿宋" w:eastAsia="仿宋" w:cs="仿宋"/>
                <w:color w:val="auto"/>
                <w:sz w:val="21"/>
                <w:szCs w:val="21"/>
                <w:highlight w:val="none"/>
                <w:lang w:eastAsia="zh-CN"/>
              </w:rPr>
              <w:t>）</w:t>
            </w:r>
          </w:p>
          <w:p w14:paraId="3B3812BB">
            <w:pPr>
              <w:pStyle w:val="16"/>
              <w:shd w:val="clear"/>
              <w:ind w:left="0" w:lef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近3年内（以获奖证书或文件落款时间为准）获得过省级及以上造价管理主管部门或造价管理协会颁发的项目造价成果类奖项得5分，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本小项满分5分</w:t>
            </w:r>
            <w:r>
              <w:rPr>
                <w:rFonts w:hint="eastAsia" w:ascii="仿宋" w:hAnsi="仿宋" w:eastAsia="仿宋" w:cs="仿宋"/>
                <w:color w:val="auto"/>
                <w:sz w:val="21"/>
                <w:szCs w:val="21"/>
                <w:highlight w:val="none"/>
                <w:lang w:eastAsia="zh-CN"/>
              </w:rPr>
              <w:t>）</w:t>
            </w:r>
          </w:p>
          <w:p w14:paraId="3C8369AE">
            <w:pPr>
              <w:pStyle w:val="16"/>
              <w:shd w:val="clear"/>
              <w:ind w:left="0" w:lef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注：响应文件中需提供获奖证书或文件原件复印件并加盖公章；评审时提供前述原件资料供评审人员现场查验；证明资料不符合要求或未提供的不得分。</w:t>
            </w:r>
          </w:p>
        </w:tc>
      </w:tr>
    </w:tbl>
    <w:p w14:paraId="4CFD0C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评审说明：</w:t>
      </w:r>
    </w:p>
    <w:p w14:paraId="567E405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得分汇总：对某一供应商的得分，取各评审人员评分之平均值，四舍五入保留至小数点后两位数，即为该供应商的综合总得分。</w:t>
      </w:r>
    </w:p>
    <w:p w14:paraId="6CF4A405">
      <w:pPr>
        <w:pStyle w:val="3"/>
        <w:pageBreakBefore w:val="0"/>
        <w:widowControl/>
        <w:shd w:val="clear"/>
        <w:wordWrap/>
        <w:overflowPunct/>
        <w:topLinePunct w:val="0"/>
        <w:bidi w:val="0"/>
        <w:spacing w:line="560" w:lineRule="exact"/>
        <w:ind w:firstLine="420" w:firstLineChars="200"/>
        <w:jc w:val="left"/>
        <w:rPr>
          <w:rFonts w:hint="eastAsia" w:ascii="仿宋" w:hAnsi="仿宋" w:eastAsia="仿宋" w:cs="仿宋"/>
          <w:color w:val="auto"/>
          <w:highlight w:val="none"/>
        </w:rPr>
      </w:pPr>
    </w:p>
    <w:p w14:paraId="530443F8">
      <w:pPr>
        <w:pageBreakBefore w:val="0"/>
        <w:widowControl/>
        <w:shd w:val="clear"/>
        <w:wordWrap/>
        <w:overflowPunct/>
        <w:topLinePunct w:val="0"/>
        <w:bidi w:val="0"/>
        <w:spacing w:line="560" w:lineRule="exact"/>
        <w:ind w:firstLine="420" w:firstLineChars="200"/>
        <w:jc w:val="left"/>
        <w:rPr>
          <w:rFonts w:hint="eastAsia" w:ascii="仿宋" w:hAnsi="仿宋" w:eastAsia="仿宋" w:cs="仿宋"/>
          <w:color w:val="auto"/>
          <w:highlight w:val="none"/>
        </w:rPr>
        <w:sectPr>
          <w:pgSz w:w="11906" w:h="16840"/>
          <w:pgMar w:top="1440" w:right="1080" w:bottom="1440" w:left="1080" w:header="0" w:footer="0" w:gutter="0"/>
          <w:cols w:space="0" w:num="1"/>
          <w:rtlGutter w:val="0"/>
          <w:docGrid w:linePitch="0" w:charSpace="0"/>
        </w:sectPr>
      </w:pPr>
    </w:p>
    <w:p w14:paraId="740E05BB">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60" w:lineRule="exact"/>
        <w:ind w:left="0" w:firstLine="0" w:firstLineChars="0"/>
        <w:jc w:val="center"/>
        <w:textAlignment w:val="auto"/>
        <w:outlineLvl w:val="0"/>
        <w:rPr>
          <w:rFonts w:hint="eastAsia" w:ascii="仿宋" w:hAnsi="仿宋" w:eastAsia="仿宋" w:cs="仿宋"/>
          <w:b/>
          <w:bCs/>
          <w:snapToGrid/>
          <w:color w:val="auto"/>
          <w:sz w:val="36"/>
          <w:szCs w:val="36"/>
          <w:highlight w:val="none"/>
          <w:lang w:val="en-US" w:eastAsia="zh-CN"/>
        </w:rPr>
      </w:pPr>
      <w:bookmarkStart w:id="16" w:name="_Toc22685"/>
      <w:r>
        <w:rPr>
          <w:rFonts w:hint="eastAsia" w:ascii="仿宋" w:hAnsi="仿宋" w:eastAsia="仿宋" w:cs="仿宋"/>
          <w:b/>
          <w:bCs/>
          <w:snapToGrid/>
          <w:color w:val="auto"/>
          <w:sz w:val="36"/>
          <w:szCs w:val="36"/>
          <w:highlight w:val="none"/>
          <w:lang w:val="en-US" w:eastAsia="zh-CN"/>
        </w:rPr>
        <w:t>第五章  确定第二阶段成交供应商的方式</w:t>
      </w:r>
      <w:bookmarkEnd w:id="16"/>
    </w:p>
    <w:p w14:paraId="3E022C66">
      <w:pPr>
        <w:pStyle w:val="3"/>
        <w:pageBreakBefore w:val="0"/>
        <w:widowControl/>
        <w:shd w:val="clear"/>
        <w:wordWrap/>
        <w:overflowPunct/>
        <w:topLinePunct w:val="0"/>
        <w:bidi w:val="0"/>
        <w:spacing w:line="560" w:lineRule="exact"/>
        <w:ind w:firstLine="420" w:firstLineChars="200"/>
        <w:jc w:val="left"/>
        <w:rPr>
          <w:rFonts w:hint="eastAsia" w:ascii="仿宋" w:hAnsi="仿宋" w:eastAsia="仿宋" w:cs="仿宋"/>
          <w:color w:val="auto"/>
          <w:highlight w:val="none"/>
        </w:rPr>
      </w:pPr>
    </w:p>
    <w:p w14:paraId="350539E1">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60" w:lineRule="exact"/>
        <w:ind w:left="0" w:firstLine="474" w:firstLineChars="200"/>
        <w:jc w:val="left"/>
        <w:textAlignment w:val="auto"/>
        <w:outlineLvl w:val="0"/>
        <w:rPr>
          <w:rFonts w:hint="eastAsia" w:ascii="仿宋" w:hAnsi="仿宋" w:eastAsia="仿宋" w:cs="仿宋"/>
          <w:color w:val="auto"/>
          <w:spacing w:val="-4"/>
          <w:sz w:val="24"/>
          <w:szCs w:val="24"/>
          <w:highlight w:val="none"/>
        </w:rPr>
      </w:pPr>
      <w:r>
        <w:rPr>
          <w:rFonts w:hint="eastAsia" w:ascii="仿宋" w:hAnsi="仿宋" w:eastAsia="仿宋" w:cs="仿宋"/>
          <w:color w:val="auto"/>
          <w:spacing w:val="-2"/>
          <w:sz w:val="24"/>
          <w:szCs w:val="24"/>
          <w:highlight w:val="none"/>
        </w:rPr>
        <w:t>第一阶段入围框架协议签订后，由</w:t>
      </w:r>
      <w:r>
        <w:rPr>
          <w:rFonts w:hint="eastAsia" w:ascii="仿宋" w:hAnsi="仿宋" w:eastAsia="仿宋" w:cs="仿宋"/>
          <w:color w:val="auto"/>
          <w:spacing w:val="-2"/>
          <w:sz w:val="24"/>
          <w:szCs w:val="24"/>
          <w:highlight w:val="none"/>
          <w:lang w:eastAsia="zh-CN"/>
        </w:rPr>
        <w:t>征集人</w:t>
      </w:r>
      <w:r>
        <w:rPr>
          <w:rFonts w:hint="eastAsia" w:ascii="仿宋" w:hAnsi="仿宋" w:eastAsia="仿宋" w:cs="仿宋"/>
          <w:color w:val="auto"/>
          <w:spacing w:val="-2"/>
          <w:sz w:val="24"/>
          <w:szCs w:val="24"/>
          <w:highlight w:val="none"/>
        </w:rPr>
        <w:t>根</w:t>
      </w:r>
      <w:r>
        <w:rPr>
          <w:rFonts w:hint="eastAsia" w:ascii="仿宋" w:hAnsi="仿宋" w:eastAsia="仿宋" w:cs="仿宋"/>
          <w:color w:val="auto"/>
          <w:spacing w:val="-3"/>
          <w:sz w:val="24"/>
          <w:szCs w:val="24"/>
          <w:highlight w:val="none"/>
        </w:rPr>
        <w:t>据工作实际需要及</w:t>
      </w:r>
      <w:r>
        <w:rPr>
          <w:rFonts w:hint="eastAsia" w:ascii="仿宋" w:hAnsi="仿宋" w:eastAsia="仿宋" w:cs="仿宋"/>
          <w:color w:val="auto"/>
          <w:spacing w:val="-3"/>
          <w:sz w:val="24"/>
          <w:szCs w:val="24"/>
          <w:highlight w:val="none"/>
          <w:lang w:val="en-US" w:eastAsia="zh-CN"/>
        </w:rPr>
        <w:t>入围</w:t>
      </w:r>
      <w:r>
        <w:rPr>
          <w:rFonts w:hint="eastAsia" w:ascii="仿宋" w:hAnsi="仿宋" w:eastAsia="仿宋" w:cs="仿宋"/>
          <w:color w:val="auto"/>
          <w:spacing w:val="-3"/>
          <w:sz w:val="24"/>
          <w:szCs w:val="24"/>
          <w:highlight w:val="none"/>
        </w:rPr>
        <w:t>供</w:t>
      </w:r>
      <w:r>
        <w:rPr>
          <w:rFonts w:hint="eastAsia" w:ascii="仿宋" w:hAnsi="仿宋" w:eastAsia="仿宋" w:cs="仿宋"/>
          <w:color w:val="auto"/>
          <w:spacing w:val="-2"/>
          <w:sz w:val="24"/>
          <w:szCs w:val="24"/>
          <w:highlight w:val="none"/>
        </w:rPr>
        <w:t>应商日常服务质量等因素，在第一阶段入围供应商中通过直接选定</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竞价</w:t>
      </w:r>
      <w:r>
        <w:rPr>
          <w:rFonts w:hint="eastAsia" w:ascii="仿宋" w:hAnsi="仿宋" w:eastAsia="仿宋" w:cs="仿宋"/>
          <w:color w:val="auto"/>
          <w:spacing w:val="-2"/>
          <w:sz w:val="24"/>
          <w:szCs w:val="24"/>
          <w:highlight w:val="none"/>
        </w:rPr>
        <w:t>等</w:t>
      </w:r>
      <w:r>
        <w:rPr>
          <w:rFonts w:hint="eastAsia" w:ascii="仿宋" w:hAnsi="仿宋" w:eastAsia="仿宋" w:cs="仿宋"/>
          <w:color w:val="auto"/>
          <w:spacing w:val="-3"/>
          <w:sz w:val="24"/>
          <w:szCs w:val="24"/>
          <w:highlight w:val="none"/>
        </w:rPr>
        <w:t>方式确定第</w:t>
      </w:r>
      <w:r>
        <w:rPr>
          <w:rFonts w:hint="eastAsia" w:ascii="仿宋" w:hAnsi="仿宋" w:eastAsia="仿宋" w:cs="仿宋"/>
          <w:color w:val="auto"/>
          <w:spacing w:val="-4"/>
          <w:sz w:val="24"/>
          <w:szCs w:val="24"/>
          <w:highlight w:val="none"/>
        </w:rPr>
        <w:t>二阶段的成交供应商。</w:t>
      </w:r>
      <w:bookmarkStart w:id="17" w:name="_Toc19878"/>
    </w:p>
    <w:p w14:paraId="260D60E1">
      <w:pPr>
        <w:pageBreakBefore w:val="0"/>
        <w:widowControl/>
        <w:wordWrap/>
        <w:overflowPunct/>
        <w:topLinePunct w:val="0"/>
        <w:bidi w:val="0"/>
        <w:spacing w:line="560" w:lineRule="exact"/>
        <w:ind w:firstLine="464" w:firstLineChars="20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br w:type="page"/>
      </w:r>
    </w:p>
    <w:p w14:paraId="44E1B43C">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60" w:lineRule="exact"/>
        <w:ind w:left="0" w:firstLine="0" w:firstLineChars="0"/>
        <w:jc w:val="center"/>
        <w:textAlignment w:val="auto"/>
        <w:outlineLvl w:val="0"/>
        <w:rPr>
          <w:rFonts w:hint="eastAsia" w:ascii="仿宋" w:hAnsi="仿宋" w:eastAsia="仿宋" w:cs="仿宋"/>
          <w:b/>
          <w:bCs/>
          <w:snapToGrid/>
          <w:color w:val="auto"/>
          <w:sz w:val="36"/>
          <w:szCs w:val="36"/>
          <w:highlight w:val="none"/>
          <w:lang w:val="en-US" w:eastAsia="zh-CN"/>
        </w:rPr>
      </w:pPr>
      <w:r>
        <w:rPr>
          <w:rFonts w:hint="eastAsia" w:ascii="仿宋" w:hAnsi="仿宋" w:eastAsia="仿宋" w:cs="仿宋"/>
          <w:b/>
          <w:bCs/>
          <w:snapToGrid/>
          <w:color w:val="auto"/>
          <w:sz w:val="36"/>
          <w:szCs w:val="36"/>
          <w:highlight w:val="none"/>
          <w:lang w:val="en-US" w:eastAsia="zh-CN"/>
        </w:rPr>
        <w:t>第六章  采购需求</w:t>
      </w:r>
      <w:bookmarkEnd w:id="17"/>
    </w:p>
    <w:p w14:paraId="362998B5">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00" w:lineRule="exact"/>
        <w:ind w:left="0" w:firstLine="482" w:firstLineChars="200"/>
        <w:jc w:val="left"/>
        <w:textAlignment w:val="auto"/>
        <w:outlineLvl w:val="0"/>
        <w:rPr>
          <w:rFonts w:hint="eastAsia" w:ascii="仿宋" w:hAnsi="仿宋" w:eastAsia="仿宋" w:cs="仿宋"/>
          <w:bCs w:val="0"/>
          <w:color w:val="auto"/>
          <w:kern w:val="0"/>
          <w:sz w:val="24"/>
          <w:szCs w:val="24"/>
          <w:highlight w:val="none"/>
          <w:lang w:val="en-US" w:eastAsia="zh-CN" w:bidi="ar-SA"/>
        </w:rPr>
      </w:pPr>
      <w:bookmarkStart w:id="18" w:name="_Toc24679"/>
      <w:bookmarkStart w:id="19" w:name="_Toc18706"/>
      <w:bookmarkStart w:id="20" w:name="_Toc30887"/>
      <w:r>
        <w:rPr>
          <w:rFonts w:hint="eastAsia" w:ascii="仿宋" w:hAnsi="仿宋" w:eastAsia="仿宋" w:cs="仿宋"/>
          <w:bCs w:val="0"/>
          <w:color w:val="auto"/>
          <w:kern w:val="0"/>
          <w:sz w:val="24"/>
          <w:szCs w:val="24"/>
          <w:highlight w:val="none"/>
          <w:lang w:val="en-US" w:eastAsia="zh-CN" w:bidi="ar-SA"/>
        </w:rPr>
        <w:t>一、项目名称</w:t>
      </w:r>
      <w:bookmarkEnd w:id="18"/>
      <w:bookmarkEnd w:id="19"/>
      <w:bookmarkEnd w:id="20"/>
    </w:p>
    <w:p w14:paraId="7B07CAEA">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六安城市建设投资有限公司征集第三方咨询服务机构项目</w:t>
      </w:r>
    </w:p>
    <w:p w14:paraId="4FE3F683">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00" w:lineRule="exact"/>
        <w:ind w:left="0" w:firstLine="482" w:firstLineChars="200"/>
        <w:jc w:val="left"/>
        <w:textAlignment w:val="auto"/>
        <w:outlineLvl w:val="0"/>
        <w:rPr>
          <w:rFonts w:hint="eastAsia" w:ascii="仿宋" w:hAnsi="仿宋" w:eastAsia="仿宋" w:cs="仿宋"/>
          <w:bCs w:val="0"/>
          <w:color w:val="auto"/>
          <w:kern w:val="0"/>
          <w:sz w:val="24"/>
          <w:szCs w:val="24"/>
          <w:highlight w:val="none"/>
          <w:lang w:val="en-US" w:eastAsia="zh-CN" w:bidi="ar-SA"/>
        </w:rPr>
      </w:pPr>
      <w:bookmarkStart w:id="21" w:name="_Toc4382"/>
      <w:bookmarkStart w:id="22" w:name="_Toc2987"/>
      <w:r>
        <w:rPr>
          <w:rFonts w:hint="eastAsia" w:ascii="仿宋" w:hAnsi="仿宋" w:eastAsia="仿宋" w:cs="仿宋"/>
          <w:bCs w:val="0"/>
          <w:color w:val="auto"/>
          <w:kern w:val="0"/>
          <w:sz w:val="24"/>
          <w:szCs w:val="24"/>
          <w:highlight w:val="none"/>
          <w:lang w:val="en-US" w:eastAsia="zh-CN" w:bidi="ar-SA"/>
        </w:rPr>
        <w:t>二、项目概况</w:t>
      </w:r>
      <w:bookmarkEnd w:id="21"/>
      <w:bookmarkEnd w:id="22"/>
    </w:p>
    <w:p w14:paraId="053E5A31">
      <w:pPr>
        <w:pStyle w:val="6"/>
        <w:keepNext w:val="0"/>
        <w:keepLines w:val="0"/>
        <w:pageBreakBefore w:val="0"/>
        <w:widowControl/>
        <w:shd w:val="clear"/>
        <w:kinsoku/>
        <w:wordWrap/>
        <w:overflowPunct/>
        <w:topLinePunct w:val="0"/>
        <w:autoSpaceDE/>
        <w:autoSpaceDN/>
        <w:bidi w:val="0"/>
        <w:adjustRightInd/>
        <w:snapToGrid/>
        <w:spacing w:before="0" w:after="0" w:line="50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bookmarkStart w:id="23" w:name="_Toc10627"/>
      <w:r>
        <w:rPr>
          <w:rFonts w:hint="eastAsia" w:ascii="仿宋" w:hAnsi="仿宋" w:eastAsia="仿宋" w:cs="仿宋"/>
          <w:b w:val="0"/>
          <w:bCs w:val="0"/>
          <w:color w:val="auto"/>
          <w:sz w:val="24"/>
          <w:szCs w:val="24"/>
          <w:highlight w:val="none"/>
          <w:lang w:val="en-US" w:eastAsia="zh-CN"/>
        </w:rPr>
        <w:t>六安城市建设投资有限公司作为国有企业，在推动六安市城市基础设施建设、公共服务设施完善及区域经济发展中承担重要职责。随着企业业务规模不断扩大，投资项目数量持续增加，涉及领域日益广泛，为确保项目高效推进、规范实施，提升项目投资效益，保障项目实施质量，亟需引入不超过6家专业第三方服务机构，为项目招标代理及造价咨询工作提供专业支持。</w:t>
      </w:r>
      <w:bookmarkEnd w:id="23"/>
    </w:p>
    <w:p w14:paraId="58D4B09C">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00" w:lineRule="exact"/>
        <w:ind w:left="0" w:firstLine="482" w:firstLineChars="200"/>
        <w:jc w:val="left"/>
        <w:textAlignment w:val="auto"/>
        <w:outlineLvl w:val="0"/>
        <w:rPr>
          <w:rFonts w:hint="eastAsia" w:ascii="仿宋" w:hAnsi="仿宋" w:eastAsia="仿宋" w:cs="仿宋"/>
          <w:bCs w:val="0"/>
          <w:color w:val="auto"/>
          <w:kern w:val="0"/>
          <w:sz w:val="24"/>
          <w:szCs w:val="24"/>
          <w:highlight w:val="none"/>
          <w:lang w:val="en-US" w:eastAsia="zh-CN" w:bidi="ar-SA"/>
        </w:rPr>
      </w:pPr>
      <w:bookmarkStart w:id="24" w:name="_Toc6136"/>
      <w:bookmarkStart w:id="25" w:name="_Toc14249"/>
      <w:r>
        <w:rPr>
          <w:rFonts w:hint="eastAsia" w:ascii="仿宋" w:hAnsi="仿宋" w:eastAsia="仿宋" w:cs="仿宋"/>
          <w:bCs w:val="0"/>
          <w:color w:val="auto"/>
          <w:kern w:val="0"/>
          <w:sz w:val="24"/>
          <w:szCs w:val="24"/>
          <w:highlight w:val="none"/>
          <w:lang w:val="en-US" w:eastAsia="zh-CN" w:bidi="ar-SA"/>
        </w:rPr>
        <w:t>三、服务内容</w:t>
      </w:r>
      <w:bookmarkEnd w:id="24"/>
      <w:bookmarkEnd w:id="25"/>
    </w:p>
    <w:p w14:paraId="791409B2">
      <w:pPr>
        <w:pStyle w:val="16"/>
        <w:pageBreakBefore w:val="0"/>
        <w:widowControl/>
        <w:numPr>
          <w:ilvl w:val="0"/>
          <w:numId w:val="0"/>
        </w:numPr>
        <w:shd w:val="clear"/>
        <w:kinsoku/>
        <w:wordWrap/>
        <w:overflowPunct/>
        <w:topLinePunct w:val="0"/>
        <w:autoSpaceDE/>
        <w:autoSpaceDN/>
        <w:bidi w:val="0"/>
        <w:adjustRightInd/>
        <w:snapToGrid/>
        <w:spacing w:line="500" w:lineRule="exact"/>
        <w:ind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招标代理服务</w:t>
      </w:r>
      <w:r>
        <w:rPr>
          <w:rFonts w:hint="eastAsia" w:ascii="仿宋" w:hAnsi="仿宋" w:eastAsia="仿宋" w:cs="仿宋"/>
          <w:b/>
          <w:bCs/>
          <w:color w:val="auto"/>
          <w:sz w:val="24"/>
          <w:szCs w:val="24"/>
          <w:highlight w:val="none"/>
          <w:lang w:val="en-US" w:eastAsia="zh-CN"/>
        </w:rPr>
        <w:t>包括但不限于以下内容：</w:t>
      </w:r>
    </w:p>
    <w:p w14:paraId="52D565CE">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项目登记与信息推送</w:t>
      </w:r>
      <w:r>
        <w:rPr>
          <w:rFonts w:hint="eastAsia" w:ascii="仿宋" w:hAnsi="仿宋" w:eastAsia="仿宋" w:cs="仿宋"/>
          <w:color w:val="auto"/>
          <w:sz w:val="24"/>
          <w:szCs w:val="24"/>
          <w:highlight w:val="none"/>
        </w:rPr>
        <w:t>：遵循六安市公共资源交易电子服务系统操作规范，在获取</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项目信息的1个工作日内，完成项目信息在六安市公共资源交易平台的登记工作，并精准推送至相关交易服务系统。</w:t>
      </w:r>
    </w:p>
    <w:p w14:paraId="25910F17">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rPr>
        <w:t>文件编制与发布</w:t>
      </w:r>
      <w:r>
        <w:rPr>
          <w:rFonts w:hint="eastAsia" w:ascii="仿宋" w:hAnsi="仿宋" w:eastAsia="仿宋" w:cs="仿宋"/>
          <w:color w:val="auto"/>
          <w:sz w:val="24"/>
          <w:szCs w:val="24"/>
          <w:highlight w:val="none"/>
        </w:rPr>
        <w:t>：严格依据六安市公管局规定的最新招标文件范本、评标办法以及项目具体需求，</w:t>
      </w:r>
      <w:r>
        <w:rPr>
          <w:rFonts w:hint="eastAsia" w:ascii="仿宋" w:hAnsi="仿宋" w:eastAsia="仿宋" w:cs="仿宋"/>
          <w:color w:val="auto"/>
          <w:sz w:val="24"/>
          <w:szCs w:val="24"/>
          <w:highlight w:val="none"/>
          <w:lang w:val="en-US" w:eastAsia="zh-CN"/>
        </w:rPr>
        <w:t>负责</w:t>
      </w:r>
      <w:r>
        <w:rPr>
          <w:rFonts w:hint="eastAsia" w:ascii="仿宋" w:hAnsi="仿宋" w:eastAsia="仿宋" w:cs="仿宋"/>
          <w:color w:val="auto"/>
          <w:sz w:val="24"/>
          <w:szCs w:val="24"/>
          <w:highlight w:val="none"/>
        </w:rPr>
        <w:t>招标公告、招标文件编制。</w:t>
      </w:r>
    </w:p>
    <w:p w14:paraId="79562ACF">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澄清答疑发布：</w:t>
      </w:r>
      <w:r>
        <w:rPr>
          <w:rFonts w:hint="eastAsia" w:ascii="仿宋" w:hAnsi="仿宋" w:eastAsia="仿宋" w:cs="仿宋"/>
          <w:color w:val="auto"/>
          <w:sz w:val="24"/>
          <w:szCs w:val="24"/>
          <w:highlight w:val="none"/>
          <w:lang w:val="en-US" w:eastAsia="zh-CN"/>
        </w:rPr>
        <w:t>针对投标人网上提出的疑问，协助招标人（即征集人或其指定部门）及时回复。代理机构起草好澄清答疑文件后，报招标人（即征集人或其指定部门）审核，经招标人（即征集人或其指定部门）审核同意后，按照</w:t>
      </w:r>
      <w:r>
        <w:rPr>
          <w:rFonts w:hint="eastAsia" w:ascii="仿宋" w:hAnsi="仿宋" w:eastAsia="仿宋" w:cs="仿宋"/>
          <w:color w:val="auto"/>
          <w:sz w:val="24"/>
          <w:szCs w:val="24"/>
          <w:highlight w:val="none"/>
        </w:rPr>
        <w:t>六安市公共资源交易电子招标投标操作规程</w:t>
      </w:r>
      <w:r>
        <w:rPr>
          <w:rFonts w:hint="eastAsia" w:ascii="仿宋" w:hAnsi="仿宋" w:eastAsia="仿宋" w:cs="仿宋"/>
          <w:color w:val="auto"/>
          <w:sz w:val="24"/>
          <w:szCs w:val="24"/>
          <w:highlight w:val="none"/>
          <w:lang w:val="en-US" w:eastAsia="zh-CN"/>
        </w:rPr>
        <w:t>进行发布。</w:t>
      </w:r>
    </w:p>
    <w:p w14:paraId="621445F7">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评标委员会组建</w:t>
      </w:r>
      <w:r>
        <w:rPr>
          <w:rFonts w:hint="eastAsia" w:ascii="仿宋" w:hAnsi="仿宋" w:eastAsia="仿宋" w:cs="仿宋"/>
          <w:color w:val="auto"/>
          <w:sz w:val="24"/>
          <w:szCs w:val="24"/>
          <w:highlight w:val="none"/>
        </w:rPr>
        <w:t>：协助</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依据《安徽省综合评标评审专家库管理办法》及相关项目要求，在开标前2个工作日</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完成评标委员会组建。</w:t>
      </w:r>
    </w:p>
    <w:p w14:paraId="1AF72276">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开标与评标组织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协助招标人（即征集人或其指定部门）按照招标文件规定开标时间、地点举行开标会，并组织开评标工作。</w:t>
      </w:r>
    </w:p>
    <w:p w14:paraId="66C07A30">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专家费用支付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代理机构按照规定支付评标专家劳务费</w:t>
      </w:r>
      <w:r>
        <w:rPr>
          <w:rFonts w:hint="eastAsia" w:ascii="仿宋" w:hAnsi="仿宋" w:eastAsia="仿宋" w:cs="仿宋"/>
          <w:color w:val="auto"/>
          <w:sz w:val="24"/>
          <w:szCs w:val="24"/>
          <w:highlight w:val="none"/>
        </w:rPr>
        <w:t>。</w:t>
      </w:r>
    </w:p>
    <w:p w14:paraId="56A97FDC">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中标后续事宜</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代理机构</w:t>
      </w:r>
      <w:r>
        <w:rPr>
          <w:rFonts w:hint="eastAsia" w:ascii="仿宋" w:hAnsi="仿宋" w:eastAsia="仿宋" w:cs="仿宋"/>
          <w:color w:val="auto"/>
          <w:sz w:val="24"/>
          <w:szCs w:val="24"/>
          <w:highlight w:val="none"/>
        </w:rPr>
        <w:t>通过六安市公共资源交易平台协助</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办理中标通知书；中标人收到中标通知书后的30日内，协助完成合同签订工作，并在合同签订后，将合同信息录入六安市公共资源交易平台完成合同公开、合同备案等事宜，确保合同信息准确无误且符合公管局相关备案要求。</w:t>
      </w:r>
    </w:p>
    <w:p w14:paraId="77441D5A">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档案移交：</w:t>
      </w:r>
      <w:r>
        <w:rPr>
          <w:rFonts w:hint="eastAsia" w:ascii="仿宋" w:hAnsi="仿宋" w:eastAsia="仿宋" w:cs="仿宋"/>
          <w:b w:val="0"/>
          <w:bCs w:val="0"/>
          <w:color w:val="auto"/>
          <w:sz w:val="24"/>
          <w:szCs w:val="24"/>
          <w:highlight w:val="none"/>
        </w:rPr>
        <w:t>按照规定，将项目档案资料整理成册，向</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b w:val="0"/>
          <w:bCs w:val="0"/>
          <w:color w:val="auto"/>
          <w:sz w:val="24"/>
          <w:szCs w:val="24"/>
          <w:highlight w:val="none"/>
        </w:rPr>
        <w:t>及相关部门或机构移交。档案资料包括招标公告、招标文件、</w:t>
      </w:r>
      <w:r>
        <w:rPr>
          <w:rFonts w:hint="eastAsia" w:ascii="仿宋" w:hAnsi="仿宋" w:eastAsia="仿宋" w:cs="仿宋"/>
          <w:b w:val="0"/>
          <w:bCs w:val="0"/>
          <w:color w:val="auto"/>
          <w:sz w:val="24"/>
          <w:szCs w:val="24"/>
          <w:highlight w:val="none"/>
          <w:lang w:eastAsia="zh-CN"/>
        </w:rPr>
        <w:t>响应文件</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开</w:t>
      </w:r>
      <w:r>
        <w:rPr>
          <w:rFonts w:hint="eastAsia" w:ascii="仿宋" w:hAnsi="仿宋" w:eastAsia="仿宋" w:cs="仿宋"/>
          <w:b w:val="0"/>
          <w:bCs w:val="0"/>
          <w:color w:val="auto"/>
          <w:sz w:val="24"/>
          <w:szCs w:val="24"/>
          <w:highlight w:val="none"/>
        </w:rPr>
        <w:t>评标记录、中标通知书、合同等所有与项目相关文件，档案整理需符合档案管理规范，电子档案与纸质档案一一对应。</w:t>
      </w:r>
    </w:p>
    <w:p w14:paraId="6AF9B56E">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其他约定事项：</w:t>
      </w:r>
      <w:r>
        <w:rPr>
          <w:rFonts w:hint="eastAsia" w:ascii="仿宋" w:hAnsi="仿宋" w:eastAsia="仿宋" w:cs="仿宋"/>
          <w:b w:val="0"/>
          <w:bCs w:val="0"/>
          <w:color w:val="auto"/>
          <w:sz w:val="24"/>
          <w:szCs w:val="24"/>
          <w:highlight w:val="none"/>
        </w:rPr>
        <w:t>完成委托代理合同中明确约定的其他工作任务，如协助处理投标人</w:t>
      </w:r>
      <w:r>
        <w:rPr>
          <w:rFonts w:hint="eastAsia" w:ascii="仿宋" w:hAnsi="仿宋" w:eastAsia="仿宋" w:cs="仿宋"/>
          <w:b w:val="0"/>
          <w:bCs w:val="0"/>
          <w:color w:val="auto"/>
          <w:sz w:val="24"/>
          <w:szCs w:val="24"/>
          <w:highlight w:val="none"/>
          <w:lang w:val="en-US" w:eastAsia="zh-CN"/>
        </w:rPr>
        <w:t>异议</w:t>
      </w:r>
      <w:r>
        <w:rPr>
          <w:rFonts w:hint="eastAsia" w:ascii="仿宋" w:hAnsi="仿宋" w:eastAsia="仿宋" w:cs="仿宋"/>
          <w:b w:val="0"/>
          <w:bCs w:val="0"/>
          <w:color w:val="auto"/>
          <w:sz w:val="24"/>
          <w:szCs w:val="24"/>
          <w:highlight w:val="none"/>
        </w:rPr>
        <w:t>与投诉等。</w:t>
      </w:r>
    </w:p>
    <w:p w14:paraId="5F9736AC">
      <w:pPr>
        <w:pStyle w:val="16"/>
        <w:pageBreakBefore w:val="0"/>
        <w:widowControl/>
        <w:numPr>
          <w:ilvl w:val="0"/>
          <w:numId w:val="0"/>
        </w:numPr>
        <w:shd w:val="clear"/>
        <w:kinsoku/>
        <w:wordWrap/>
        <w:overflowPunct/>
        <w:topLinePunct w:val="0"/>
        <w:autoSpaceDE/>
        <w:autoSpaceDN/>
        <w:bidi w:val="0"/>
        <w:adjustRightInd/>
        <w:snapToGrid/>
        <w:spacing w:line="500" w:lineRule="exact"/>
        <w:ind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清单及控制价编制工作</w:t>
      </w:r>
      <w:r>
        <w:rPr>
          <w:rFonts w:hint="eastAsia" w:ascii="仿宋" w:hAnsi="仿宋" w:eastAsia="仿宋" w:cs="仿宋"/>
          <w:b/>
          <w:bCs/>
          <w:color w:val="auto"/>
          <w:sz w:val="24"/>
          <w:szCs w:val="24"/>
          <w:highlight w:val="none"/>
          <w:lang w:val="en-US" w:eastAsia="zh-CN"/>
        </w:rPr>
        <w:t>包括但不限于以下内容：</w:t>
      </w:r>
    </w:p>
    <w:p w14:paraId="0D01D6CC">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收到</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提供完整项目施工图纸、设计变更、工程规范等资料后，</w:t>
      </w:r>
      <w:r>
        <w:rPr>
          <w:rFonts w:hint="eastAsia" w:ascii="仿宋" w:hAnsi="仿宋" w:eastAsia="仿宋" w:cs="仿宋"/>
          <w:color w:val="auto"/>
          <w:sz w:val="24"/>
          <w:szCs w:val="24"/>
          <w:highlight w:val="none"/>
          <w:lang w:val="en-US" w:eastAsia="zh-CN"/>
        </w:rPr>
        <w:t>完成</w:t>
      </w:r>
      <w:r>
        <w:rPr>
          <w:rFonts w:hint="eastAsia" w:ascii="仿宋" w:hAnsi="仿宋" w:eastAsia="仿宋" w:cs="仿宋"/>
          <w:color w:val="auto"/>
          <w:sz w:val="24"/>
          <w:szCs w:val="24"/>
          <w:highlight w:val="none"/>
        </w:rPr>
        <w:t>工程量清单</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控制价编</w:t>
      </w:r>
      <w:r>
        <w:rPr>
          <w:rFonts w:hint="eastAsia" w:ascii="仿宋" w:hAnsi="仿宋" w:eastAsia="仿宋" w:cs="仿宋"/>
          <w:color w:val="auto"/>
          <w:sz w:val="24"/>
          <w:szCs w:val="24"/>
          <w:highlight w:val="none"/>
          <w:lang w:val="en-US" w:eastAsia="zh-CN"/>
        </w:rPr>
        <w:t>制</w:t>
      </w:r>
      <w:r>
        <w:rPr>
          <w:rFonts w:hint="eastAsia" w:ascii="仿宋" w:hAnsi="仿宋" w:eastAsia="仿宋" w:cs="仿宋"/>
          <w:color w:val="auto"/>
          <w:sz w:val="24"/>
          <w:szCs w:val="24"/>
          <w:highlight w:val="none"/>
        </w:rPr>
        <w:t>。编制严格执行现行国家标准及安徽省相关补充规定，对工程项目各分项工程详细计算，准确描述项目特征，明确计量单位及工程数量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控制价涵盖工程项目从前期准备到竣工验收交付使用全过程各项费用，包括分部分项工程费、措施项目费、其他项目费、</w:t>
      </w:r>
      <w:r>
        <w:rPr>
          <w:rFonts w:hint="eastAsia" w:ascii="仿宋" w:hAnsi="仿宋" w:eastAsia="仿宋" w:cs="仿宋"/>
          <w:color w:val="auto"/>
          <w:sz w:val="24"/>
          <w:szCs w:val="24"/>
          <w:highlight w:val="none"/>
          <w:lang w:val="en-US" w:eastAsia="zh-CN"/>
        </w:rPr>
        <w:t>不可竞争费</w:t>
      </w:r>
      <w:r>
        <w:rPr>
          <w:rFonts w:hint="eastAsia" w:ascii="仿宋" w:hAnsi="仿宋" w:eastAsia="仿宋" w:cs="仿宋"/>
          <w:color w:val="auto"/>
          <w:sz w:val="24"/>
          <w:szCs w:val="24"/>
          <w:highlight w:val="none"/>
        </w:rPr>
        <w:t>和税金等。采用新材料、新工艺项目，通过市场调研、咨询专家等方式确定合理价格。编制过程中，对各项费用组成及计算依据详细说明，形成完整招标控制价编制报告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完成初稿后，进行内部</w:t>
      </w:r>
      <w:r>
        <w:rPr>
          <w:rFonts w:hint="eastAsia" w:ascii="仿宋" w:hAnsi="仿宋" w:eastAsia="仿宋" w:cs="仿宋"/>
          <w:color w:val="auto"/>
          <w:sz w:val="24"/>
          <w:szCs w:val="24"/>
          <w:highlight w:val="none"/>
          <w:lang w:val="en-US" w:eastAsia="zh-CN"/>
        </w:rPr>
        <w:t>三级</w:t>
      </w:r>
      <w:r>
        <w:rPr>
          <w:rFonts w:hint="eastAsia" w:ascii="仿宋" w:hAnsi="仿宋" w:eastAsia="仿宋" w:cs="仿宋"/>
          <w:color w:val="auto"/>
          <w:sz w:val="24"/>
          <w:szCs w:val="24"/>
          <w:highlight w:val="none"/>
        </w:rPr>
        <w:t>审核，</w:t>
      </w:r>
      <w:r>
        <w:rPr>
          <w:rFonts w:hint="eastAsia" w:ascii="仿宋" w:hAnsi="仿宋" w:eastAsia="仿宋" w:cs="仿宋"/>
          <w:color w:val="auto"/>
          <w:sz w:val="24"/>
          <w:szCs w:val="24"/>
          <w:highlight w:val="none"/>
          <w:lang w:val="en-US" w:eastAsia="zh-CN"/>
        </w:rPr>
        <w:t>三级</w:t>
      </w:r>
      <w:r>
        <w:rPr>
          <w:rFonts w:hint="eastAsia" w:ascii="仿宋" w:hAnsi="仿宋" w:eastAsia="仿宋" w:cs="仿宋"/>
          <w:color w:val="auto"/>
          <w:sz w:val="24"/>
          <w:szCs w:val="24"/>
          <w:highlight w:val="none"/>
        </w:rPr>
        <w:t>审核内容包括工程量计算准确性、项目特征描述完整性、清单编码规范性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计价依据合理性、费用计算准确性、价格水平合理性等。</w:t>
      </w:r>
    </w:p>
    <w:p w14:paraId="3FFE0018">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工程量清单</w:t>
      </w:r>
      <w:r>
        <w:rPr>
          <w:rFonts w:hint="eastAsia" w:ascii="仿宋" w:hAnsi="仿宋" w:eastAsia="仿宋" w:cs="仿宋"/>
          <w:b/>
          <w:bCs/>
          <w:color w:val="auto"/>
          <w:sz w:val="24"/>
          <w:szCs w:val="24"/>
          <w:highlight w:val="none"/>
          <w:lang w:val="en-US" w:eastAsia="zh-CN"/>
        </w:rPr>
        <w:t>及</w:t>
      </w:r>
      <w:r>
        <w:rPr>
          <w:rFonts w:hint="eastAsia" w:ascii="仿宋" w:hAnsi="仿宋" w:eastAsia="仿宋" w:cs="仿宋"/>
          <w:b/>
          <w:bCs/>
          <w:color w:val="auto"/>
          <w:sz w:val="24"/>
          <w:szCs w:val="24"/>
          <w:highlight w:val="none"/>
        </w:rPr>
        <w:t>控制价编</w:t>
      </w:r>
      <w:r>
        <w:rPr>
          <w:rFonts w:hint="eastAsia" w:ascii="仿宋" w:hAnsi="仿宋" w:eastAsia="仿宋" w:cs="仿宋"/>
          <w:b/>
          <w:bCs/>
          <w:color w:val="auto"/>
          <w:sz w:val="24"/>
          <w:szCs w:val="24"/>
          <w:highlight w:val="none"/>
          <w:lang w:val="en-US" w:eastAsia="zh-CN"/>
        </w:rPr>
        <w:t>制总时长原则不得超过7个工作日，针对特殊、复杂项目具体时长可适当延长。</w:t>
      </w:r>
    </w:p>
    <w:p w14:paraId="50979AC0">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00" w:lineRule="exact"/>
        <w:ind w:left="0" w:firstLine="482" w:firstLineChars="200"/>
        <w:jc w:val="left"/>
        <w:textAlignment w:val="auto"/>
        <w:outlineLvl w:val="0"/>
        <w:rPr>
          <w:rFonts w:hint="eastAsia" w:ascii="仿宋" w:hAnsi="仿宋" w:eastAsia="仿宋" w:cs="仿宋"/>
          <w:bCs w:val="0"/>
          <w:color w:val="auto"/>
          <w:kern w:val="0"/>
          <w:sz w:val="24"/>
          <w:szCs w:val="24"/>
          <w:highlight w:val="none"/>
          <w:lang w:val="en-US" w:eastAsia="zh-CN" w:bidi="ar-SA"/>
        </w:rPr>
      </w:pPr>
      <w:bookmarkStart w:id="26" w:name="_Toc24245"/>
      <w:bookmarkStart w:id="27" w:name="_Toc9889"/>
      <w:bookmarkStart w:id="28" w:name="_Toc16999"/>
      <w:r>
        <w:rPr>
          <w:rFonts w:hint="eastAsia" w:ascii="仿宋" w:hAnsi="仿宋" w:eastAsia="仿宋" w:cs="仿宋"/>
          <w:bCs w:val="0"/>
          <w:color w:val="auto"/>
          <w:kern w:val="0"/>
          <w:sz w:val="24"/>
          <w:szCs w:val="24"/>
          <w:highlight w:val="none"/>
          <w:lang w:val="en-US" w:eastAsia="zh-CN" w:bidi="ar-SA"/>
        </w:rPr>
        <w:t>四、服务要求</w:t>
      </w:r>
      <w:bookmarkEnd w:id="26"/>
      <w:bookmarkEnd w:id="27"/>
      <w:bookmarkEnd w:id="28"/>
    </w:p>
    <w:p w14:paraId="46A8348D">
      <w:pPr>
        <w:pStyle w:val="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bookmarkStart w:id="29" w:name="_Toc4364"/>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人员配备</w:t>
      </w:r>
      <w:bookmarkEnd w:id="29"/>
    </w:p>
    <w:p w14:paraId="3FAB2280">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团队构成</w:t>
      </w:r>
      <w:r>
        <w:rPr>
          <w:rFonts w:hint="eastAsia" w:ascii="仿宋" w:hAnsi="仿宋" w:eastAsia="仿宋" w:cs="仿宋"/>
          <w:color w:val="auto"/>
          <w:sz w:val="24"/>
          <w:szCs w:val="24"/>
          <w:highlight w:val="none"/>
        </w:rPr>
        <w:t>：各第三方咨询机构为本项目</w:t>
      </w:r>
      <w:r>
        <w:rPr>
          <w:rFonts w:hint="eastAsia" w:ascii="仿宋" w:hAnsi="仿宋" w:eastAsia="仿宋" w:cs="仿宋"/>
          <w:color w:val="auto"/>
          <w:sz w:val="24"/>
          <w:szCs w:val="24"/>
          <w:highlight w:val="none"/>
          <w:lang w:val="en-US" w:eastAsia="zh-CN"/>
        </w:rPr>
        <w:t>最低</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人的专业服务团队，</w:t>
      </w:r>
      <w:r>
        <w:rPr>
          <w:rFonts w:hint="eastAsia" w:ascii="仿宋" w:hAnsi="仿宋" w:eastAsia="仿宋" w:cs="仿宋"/>
          <w:color w:val="auto"/>
          <w:sz w:val="24"/>
          <w:szCs w:val="24"/>
          <w:highlight w:val="none"/>
          <w:lang w:val="en-US" w:eastAsia="zh-CN"/>
        </w:rPr>
        <w:t>其中：招标代理服务人员2</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在省</w:t>
      </w:r>
      <w:r>
        <w:rPr>
          <w:rFonts w:hint="eastAsia" w:ascii="仿宋" w:hAnsi="仿宋" w:eastAsia="仿宋" w:cs="仿宋"/>
          <w:color w:val="auto"/>
          <w:sz w:val="24"/>
          <w:szCs w:val="24"/>
          <w:highlight w:val="none"/>
          <w:lang w:val="en-US" w:eastAsia="zh-CN"/>
        </w:rPr>
        <w:t>级</w:t>
      </w:r>
      <w:r>
        <w:rPr>
          <w:rFonts w:hint="eastAsia" w:ascii="仿宋" w:hAnsi="仿宋" w:eastAsia="仿宋" w:cs="仿宋"/>
          <w:color w:val="auto"/>
          <w:sz w:val="24"/>
          <w:szCs w:val="24"/>
          <w:highlight w:val="none"/>
        </w:rPr>
        <w:t>公共资源交易市场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登记备案且具有</w:t>
      </w:r>
      <w:r>
        <w:rPr>
          <w:rFonts w:hint="eastAsia" w:ascii="仿宋" w:hAnsi="仿宋" w:eastAsia="仿宋" w:cs="仿宋"/>
          <w:color w:val="auto"/>
          <w:sz w:val="24"/>
          <w:szCs w:val="24"/>
          <w:highlight w:val="none"/>
          <w:lang w:val="en-US" w:eastAsia="zh-CN"/>
        </w:rPr>
        <w:t>招标代理经验</w:t>
      </w:r>
      <w:r>
        <w:rPr>
          <w:rFonts w:hint="eastAsia" w:ascii="仿宋" w:hAnsi="仿宋" w:eastAsia="仿宋" w:cs="仿宋"/>
          <w:color w:val="auto"/>
          <w:sz w:val="24"/>
          <w:szCs w:val="24"/>
          <w:highlight w:val="none"/>
        </w:rPr>
        <w:t>的专业人员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造价咨询服务人员3</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包括一级注册造价师1人，二级注册造价师2人）</w:t>
      </w:r>
      <w:r>
        <w:rPr>
          <w:rFonts w:hint="eastAsia" w:ascii="仿宋" w:hAnsi="仿宋" w:eastAsia="仿宋" w:cs="仿宋"/>
          <w:color w:val="auto"/>
          <w:sz w:val="24"/>
          <w:szCs w:val="24"/>
          <w:highlight w:val="none"/>
        </w:rPr>
        <w:t>。所有人员具备相应专业知识和技能，熟练运用相关法律法规、行业规范以及六安市公共资源交易平台操作软件。</w:t>
      </w:r>
    </w:p>
    <w:p w14:paraId="0DDA4F13">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项目负责人资质：</w:t>
      </w:r>
    </w:p>
    <w:p w14:paraId="4042E369">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1、项目招标代理负责人：</w:t>
      </w:r>
    </w:p>
    <w:p w14:paraId="6E8B0E11">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备5年以上类似项目招标代理经验，持有工程类（或经济类）中级及以上职称。项目负责人需全面掌握招标文件编制、开评标流程操作、异议投诉处置等核心环节，具备跨单位协调与团队统筹能力，定期向招标人（即征集人或其指定部门）汇报项目进展情况，确保项目全周期风险可控、问题闭环处理。</w:t>
      </w:r>
    </w:p>
    <w:p w14:paraId="46B9C47B">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2、项目造价咨询负责人：</w:t>
      </w:r>
      <w:bookmarkStart w:id="50" w:name="_GoBack"/>
      <w:bookmarkEnd w:id="50"/>
    </w:p>
    <w:p w14:paraId="65CB0A02">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具备5年以上类似项目造价经验，具有工程类（或经济类）中级及以上职称和一级注册造价工程师执业资格证书。项目负责人需具备丰富的全过程造价管控经验，主导团队完成工程量清单、控制价编制及审核等关键任务，建立动态问题响应机制，及时解决项目实施过程中出现的问题。</w:t>
      </w:r>
    </w:p>
    <w:p w14:paraId="53F61026">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人员稳定性</w:t>
      </w:r>
      <w:r>
        <w:rPr>
          <w:rFonts w:hint="eastAsia" w:ascii="仿宋" w:hAnsi="仿宋" w:eastAsia="仿宋" w:cs="仿宋"/>
          <w:color w:val="auto"/>
          <w:sz w:val="24"/>
          <w:szCs w:val="24"/>
          <w:highlight w:val="none"/>
        </w:rPr>
        <w:t>：项目服务期内，未经</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书面同意，第三方咨询机构不得擅自更换项目负责人及关键岗位人员。如需更换，提前30天向</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提交书面申请，</w:t>
      </w:r>
      <w:r>
        <w:rPr>
          <w:rFonts w:ascii="仿宋" w:hAnsi="仿宋" w:eastAsia="仿宋"/>
          <w:color w:val="auto"/>
          <w:sz w:val="24"/>
          <w:highlight w:val="none"/>
        </w:rPr>
        <w:t>更换人员需与被更换人员条件一致，且须书面报请</w:t>
      </w:r>
      <w:r>
        <w:rPr>
          <w:rFonts w:hint="eastAsia" w:ascii="仿宋" w:hAnsi="仿宋" w:eastAsia="仿宋"/>
          <w:color w:val="auto"/>
          <w:sz w:val="24"/>
          <w:highlight w:val="none"/>
          <w:lang w:eastAsia="zh-CN"/>
        </w:rPr>
        <w:t>招标人</w:t>
      </w:r>
      <w:r>
        <w:rPr>
          <w:rFonts w:ascii="仿宋" w:hAnsi="仿宋" w:eastAsia="仿宋"/>
          <w:color w:val="auto"/>
          <w:sz w:val="24"/>
          <w:highlight w:val="none"/>
        </w:rPr>
        <w:t>同意，否则视为违约</w:t>
      </w:r>
      <w:r>
        <w:rPr>
          <w:rFonts w:hint="eastAsia" w:ascii="仿宋" w:hAnsi="仿宋" w:eastAsia="仿宋"/>
          <w:color w:val="auto"/>
          <w:sz w:val="24"/>
          <w:highlight w:val="none"/>
          <w:lang w:eastAsia="zh-CN"/>
        </w:rPr>
        <w:t>招标人</w:t>
      </w:r>
      <w:r>
        <w:rPr>
          <w:rFonts w:ascii="仿宋" w:hAnsi="仿宋" w:eastAsia="仿宋"/>
          <w:color w:val="auto"/>
          <w:sz w:val="24"/>
          <w:highlight w:val="none"/>
        </w:rPr>
        <w:t>有权解除合同，并按规定处理，由此产生的一切责任和后果均由代理机构承担。</w:t>
      </w:r>
    </w:p>
    <w:p w14:paraId="309247C7">
      <w:pPr>
        <w:pStyle w:val="6"/>
        <w:pageBreakBefore w:val="0"/>
        <w:widowControl/>
        <w:numPr>
          <w:ilvl w:val="0"/>
          <w:numId w:val="0"/>
        </w:numPr>
        <w:shd w:val="clea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b/>
          <w:bCs/>
          <w:color w:val="auto"/>
          <w:sz w:val="24"/>
          <w:szCs w:val="24"/>
          <w:highlight w:val="none"/>
        </w:rPr>
      </w:pPr>
      <w:bookmarkStart w:id="30" w:name="_Toc27956"/>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服务地点</w:t>
      </w:r>
      <w:bookmarkEnd w:id="30"/>
    </w:p>
    <w:p w14:paraId="45847F18">
      <w:pPr>
        <w:pageBreakBefore w:val="0"/>
        <w:widowControl/>
        <w:shd w:val="clear"/>
        <w:wordWrap/>
        <w:overflowPunct/>
        <w:topLinePunct w:val="0"/>
        <w:bidi w:val="0"/>
        <w:spacing w:line="500" w:lineRule="exact"/>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代理机构具备开展招标采购活动的固定场所，并具有完成项目代理全流程的相关软硬件设施。重大复杂招标活动或者比选人根据综合研判情况要求</w:t>
      </w:r>
      <w:r>
        <w:rPr>
          <w:rFonts w:hint="eastAsia" w:ascii="仿宋" w:hAnsi="仿宋" w:eastAsia="仿宋" w:cs="仿宋"/>
          <w:color w:val="auto"/>
          <w:sz w:val="24"/>
          <w:szCs w:val="24"/>
          <w:highlight w:val="none"/>
        </w:rPr>
        <w:t>第三方咨询机构</w:t>
      </w:r>
      <w:r>
        <w:rPr>
          <w:rFonts w:ascii="仿宋" w:hAnsi="仿宋" w:eastAsia="仿宋"/>
          <w:color w:val="auto"/>
          <w:sz w:val="24"/>
          <w:highlight w:val="none"/>
        </w:rPr>
        <w:t>提供驻点服务时，代理机构必须无条件响应提供驻点服务。</w:t>
      </w:r>
    </w:p>
    <w:p w14:paraId="78E614AC">
      <w:pPr>
        <w:pStyle w:val="16"/>
        <w:pageBreakBefore w:val="0"/>
        <w:widowControl/>
        <w:numPr>
          <w:ilvl w:val="0"/>
          <w:numId w:val="0"/>
        </w:numPr>
        <w:shd w:val="clear"/>
        <w:kinsoku/>
        <w:wordWrap/>
        <w:overflowPunct/>
        <w:topLinePunct w:val="0"/>
        <w:autoSpaceDE/>
        <w:autoSpaceDN/>
        <w:bidi w:val="0"/>
        <w:adjustRightInd/>
        <w:snapToGrid/>
        <w:spacing w:line="500" w:lineRule="exact"/>
        <w:ind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2.1</w:t>
      </w:r>
      <w:r>
        <w:rPr>
          <w:rFonts w:hint="eastAsia" w:ascii="仿宋" w:hAnsi="仿宋" w:eastAsia="仿宋" w:cs="仿宋"/>
          <w:b/>
          <w:bCs/>
          <w:color w:val="auto"/>
          <w:sz w:val="24"/>
          <w:szCs w:val="24"/>
          <w:highlight w:val="none"/>
        </w:rPr>
        <w:t>服务响应及时性</w:t>
      </w:r>
    </w:p>
    <w:p w14:paraId="5FEFDBE9">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日常工作响应：</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提出日常工作任务和要求，第三方咨询机构2小时内做出响应，并在4小时内制定初步工作计划和进度安排。项目实施过程中，按照工作计划时间节点，定期向</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汇报工作进展情况，如有延误，提前说明原因及整改措施。</w:t>
      </w:r>
    </w:p>
    <w:p w14:paraId="4D9CF37D">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紧急任务响应：遇到紧急情况或特殊需求，如项目开标时间</w:t>
      </w:r>
      <w:r>
        <w:rPr>
          <w:rFonts w:hint="eastAsia" w:ascii="仿宋" w:hAnsi="仿宋" w:eastAsia="仿宋" w:cs="仿宋"/>
          <w:color w:val="auto"/>
          <w:sz w:val="24"/>
          <w:szCs w:val="24"/>
          <w:highlight w:val="none"/>
          <w:lang w:val="en-US" w:eastAsia="zh-CN"/>
        </w:rPr>
        <w:t>延期</w:t>
      </w:r>
      <w:r>
        <w:rPr>
          <w:rFonts w:hint="eastAsia" w:ascii="仿宋" w:hAnsi="仿宋" w:eastAsia="仿宋" w:cs="仿宋"/>
          <w:color w:val="auto"/>
          <w:sz w:val="24"/>
          <w:szCs w:val="24"/>
          <w:highlight w:val="none"/>
        </w:rPr>
        <w:t>、设计</w:t>
      </w:r>
      <w:r>
        <w:rPr>
          <w:rFonts w:hint="eastAsia" w:ascii="仿宋" w:hAnsi="仿宋" w:eastAsia="仿宋" w:cs="仿宋"/>
          <w:color w:val="auto"/>
          <w:sz w:val="24"/>
          <w:szCs w:val="24"/>
          <w:highlight w:val="none"/>
          <w:lang w:val="en-US" w:eastAsia="zh-CN"/>
        </w:rPr>
        <w:t>文件调整</w:t>
      </w:r>
      <w:r>
        <w:rPr>
          <w:rFonts w:hint="eastAsia" w:ascii="仿宋" w:hAnsi="仿宋" w:eastAsia="仿宋" w:cs="仿宋"/>
          <w:color w:val="auto"/>
          <w:sz w:val="24"/>
          <w:szCs w:val="24"/>
          <w:highlight w:val="none"/>
        </w:rPr>
        <w:t>导致清单及控制价需紧急调整等，第三方咨询机构接到通知后1小时内启动应急响应机制，迅速组织人员力量，在</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要求时间内完成工作任务。紧急任务处理优先保障工作质量，同时确保工作效率，相关处理过程及结果及时向</w:t>
      </w:r>
      <w:r>
        <w:rPr>
          <w:rFonts w:hint="eastAsia" w:ascii="仿宋" w:hAnsi="仿宋" w:eastAsia="仿宋" w:cs="仿宋"/>
          <w:color w:val="auto"/>
          <w:sz w:val="24"/>
          <w:szCs w:val="24"/>
          <w:highlight w:val="none"/>
          <w:lang w:val="en-US" w:eastAsia="zh-CN"/>
        </w:rPr>
        <w:t>招标人（即征集人或其指定部门）</w:t>
      </w:r>
      <w:r>
        <w:rPr>
          <w:rFonts w:hint="eastAsia" w:ascii="仿宋" w:hAnsi="仿宋" w:eastAsia="仿宋" w:cs="仿宋"/>
          <w:color w:val="auto"/>
          <w:sz w:val="24"/>
          <w:szCs w:val="24"/>
          <w:highlight w:val="none"/>
        </w:rPr>
        <w:t>反馈。</w:t>
      </w:r>
    </w:p>
    <w:p w14:paraId="2211A7C6">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olor w:val="auto"/>
          <w:sz w:val="24"/>
          <w:highlight w:val="none"/>
        </w:rPr>
      </w:pPr>
      <w:r>
        <w:rPr>
          <w:rFonts w:ascii="仿宋" w:hAnsi="仿宋" w:eastAsia="仿宋"/>
          <w:color w:val="auto"/>
          <w:sz w:val="24"/>
          <w:highlight w:val="none"/>
        </w:rPr>
        <w:t>根据招标采购项目需要，</w:t>
      </w:r>
      <w:r>
        <w:rPr>
          <w:rFonts w:hint="eastAsia" w:ascii="仿宋" w:hAnsi="仿宋" w:eastAsia="仿宋" w:cs="仿宋"/>
          <w:color w:val="auto"/>
          <w:sz w:val="24"/>
          <w:szCs w:val="24"/>
          <w:highlight w:val="none"/>
        </w:rPr>
        <w:t>第三方咨询机构</w:t>
      </w:r>
      <w:r>
        <w:rPr>
          <w:rFonts w:ascii="仿宋" w:hAnsi="仿宋" w:eastAsia="仿宋"/>
          <w:color w:val="auto"/>
          <w:sz w:val="24"/>
          <w:highlight w:val="none"/>
        </w:rPr>
        <w:t>须配合参加</w:t>
      </w:r>
      <w:r>
        <w:rPr>
          <w:rFonts w:hint="eastAsia" w:ascii="仿宋" w:hAnsi="仿宋" w:eastAsia="仿宋" w:cs="仿宋"/>
          <w:color w:val="auto"/>
          <w:sz w:val="24"/>
          <w:szCs w:val="24"/>
          <w:highlight w:val="none"/>
          <w:lang w:val="en-US" w:eastAsia="zh-CN"/>
        </w:rPr>
        <w:t>招标人（即征集人或其指定部门）</w:t>
      </w:r>
      <w:r>
        <w:rPr>
          <w:rFonts w:ascii="仿宋" w:hAnsi="仿宋" w:eastAsia="仿宋"/>
          <w:color w:val="auto"/>
          <w:sz w:val="24"/>
          <w:highlight w:val="none"/>
        </w:rPr>
        <w:t>组织的相关采购需求论证或采购文件会商论证事宜。采购项目及情况较复杂的采购项目须另行邀请专家参与论证或审查的，</w:t>
      </w:r>
      <w:r>
        <w:rPr>
          <w:rFonts w:hint="eastAsia" w:ascii="仿宋" w:hAnsi="仿宋" w:eastAsia="仿宋" w:cs="仿宋"/>
          <w:color w:val="auto"/>
          <w:sz w:val="24"/>
          <w:szCs w:val="24"/>
          <w:highlight w:val="none"/>
        </w:rPr>
        <w:t>第三方咨询机构</w:t>
      </w:r>
      <w:r>
        <w:rPr>
          <w:rFonts w:ascii="仿宋" w:hAnsi="仿宋" w:eastAsia="仿宋"/>
          <w:color w:val="auto"/>
          <w:sz w:val="24"/>
          <w:highlight w:val="none"/>
        </w:rPr>
        <w:t>应按</w:t>
      </w:r>
      <w:r>
        <w:rPr>
          <w:rFonts w:hint="eastAsia" w:ascii="仿宋" w:hAnsi="仿宋" w:eastAsia="仿宋" w:cs="仿宋"/>
          <w:color w:val="auto"/>
          <w:sz w:val="24"/>
          <w:szCs w:val="24"/>
          <w:highlight w:val="none"/>
          <w:lang w:val="en-US" w:eastAsia="zh-CN"/>
        </w:rPr>
        <w:t>招标人（即征集人或其指定部门）</w:t>
      </w:r>
      <w:r>
        <w:rPr>
          <w:rFonts w:ascii="仿宋" w:hAnsi="仿宋" w:eastAsia="仿宋"/>
          <w:color w:val="auto"/>
          <w:sz w:val="24"/>
          <w:highlight w:val="none"/>
        </w:rPr>
        <w:t>要求组织</w:t>
      </w:r>
      <w:r>
        <w:rPr>
          <w:rFonts w:hint="eastAsia" w:ascii="仿宋" w:hAnsi="仿宋" w:eastAsia="仿宋"/>
          <w:color w:val="auto"/>
          <w:sz w:val="24"/>
          <w:highlight w:val="none"/>
          <w:lang w:eastAsia="zh-CN"/>
        </w:rPr>
        <w:t>招标</w:t>
      </w:r>
      <w:r>
        <w:rPr>
          <w:rFonts w:ascii="仿宋" w:hAnsi="仿宋" w:eastAsia="仿宋"/>
          <w:color w:val="auto"/>
          <w:sz w:val="24"/>
          <w:highlight w:val="none"/>
        </w:rPr>
        <w:t>采购文件论证或审查会，并做好论证会议纪要，纳入项目采购档案资料后存档记录和移交。</w:t>
      </w:r>
    </w:p>
    <w:p w14:paraId="0C18A865">
      <w:pPr>
        <w:pStyle w:val="16"/>
        <w:pageBreakBefore w:val="0"/>
        <w:widowControl/>
        <w:numPr>
          <w:ilvl w:val="0"/>
          <w:numId w:val="0"/>
        </w:numPr>
        <w:shd w:val="clear"/>
        <w:kinsoku/>
        <w:wordWrap/>
        <w:overflowPunct/>
        <w:topLinePunct w:val="0"/>
        <w:autoSpaceDE/>
        <w:autoSpaceDN/>
        <w:bidi w:val="0"/>
        <w:adjustRightInd/>
        <w:snapToGrid/>
        <w:spacing w:line="500" w:lineRule="exact"/>
        <w:ind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2.2服务质量高效性</w:t>
      </w:r>
    </w:p>
    <w:p w14:paraId="42EAC370">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第三方咨询机构</w:t>
      </w:r>
      <w:r>
        <w:rPr>
          <w:rFonts w:ascii="仿宋" w:hAnsi="仿宋" w:eastAsia="仿宋"/>
          <w:color w:val="auto"/>
          <w:sz w:val="24"/>
          <w:highlight w:val="none"/>
        </w:rPr>
        <w:t>应</w:t>
      </w:r>
      <w:r>
        <w:rPr>
          <w:rFonts w:hint="eastAsia" w:ascii="仿宋" w:hAnsi="仿宋" w:eastAsia="仿宋"/>
          <w:color w:val="auto"/>
          <w:sz w:val="24"/>
          <w:highlight w:val="none"/>
          <w:lang w:val="en-US" w:eastAsia="zh-CN"/>
        </w:rPr>
        <w:t>组织好</w:t>
      </w:r>
      <w:r>
        <w:rPr>
          <w:rFonts w:ascii="仿宋" w:hAnsi="仿宋" w:eastAsia="仿宋"/>
          <w:color w:val="auto"/>
          <w:sz w:val="24"/>
          <w:highlight w:val="none"/>
        </w:rPr>
        <w:t>代理项目的开评标工作，包括但不限于：委托项目开标前两天内，</w:t>
      </w:r>
      <w:r>
        <w:rPr>
          <w:rFonts w:hint="eastAsia" w:ascii="仿宋" w:hAnsi="仿宋" w:eastAsia="仿宋"/>
          <w:color w:val="auto"/>
          <w:sz w:val="24"/>
          <w:highlight w:val="none"/>
          <w:lang w:val="en-US" w:eastAsia="zh-CN"/>
        </w:rPr>
        <w:t>第三方咨询机构</w:t>
      </w:r>
      <w:r>
        <w:rPr>
          <w:rFonts w:ascii="仿宋" w:hAnsi="仿宋" w:eastAsia="仿宋"/>
          <w:color w:val="auto"/>
          <w:sz w:val="24"/>
          <w:highlight w:val="none"/>
        </w:rPr>
        <w:t>须通知工作人员参加开评标等相关事项、依法依规组建评标（评审）委员会、协助完成对投标供应商的资格进行审查、尽到应当回避的情形和评标纪律等告知义务、维护评标（评审）现场秩序、评审资料整理、针对评标过程中的异常情况及时提醒和记录。</w:t>
      </w:r>
    </w:p>
    <w:p w14:paraId="43ADC9B3">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第三方咨询机构</w:t>
      </w:r>
      <w:r>
        <w:rPr>
          <w:rFonts w:ascii="仿宋" w:hAnsi="仿宋" w:eastAsia="仿宋"/>
          <w:color w:val="auto"/>
          <w:sz w:val="24"/>
          <w:highlight w:val="none"/>
        </w:rPr>
        <w:t>不得在开标（评标）前透露已获取招标采购文件的潜在供应商的信息以及其他可能影响公平竞争的情况，不得与潜在供应商进行任何可能影响招标采购活动公平、公正和充分竞争的交往或联系。</w:t>
      </w:r>
    </w:p>
    <w:p w14:paraId="0D7CC623">
      <w:pPr>
        <w:pageBreakBefore w:val="0"/>
        <w:widowControl/>
        <w:shd w:val="clear"/>
        <w:wordWrap/>
        <w:overflowPunct/>
        <w:topLinePunct w:val="0"/>
        <w:bidi w:val="0"/>
        <w:spacing w:line="500" w:lineRule="exact"/>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在采购活动中若发生质疑或投诉，</w:t>
      </w:r>
      <w:r>
        <w:rPr>
          <w:rFonts w:hint="eastAsia" w:ascii="仿宋" w:hAnsi="仿宋" w:eastAsia="仿宋" w:cs="仿宋"/>
          <w:color w:val="auto"/>
          <w:sz w:val="24"/>
          <w:szCs w:val="24"/>
          <w:highlight w:val="none"/>
          <w:lang w:val="en-US" w:eastAsia="zh-CN"/>
        </w:rPr>
        <w:t>第三方咨询机构</w:t>
      </w:r>
      <w:r>
        <w:rPr>
          <w:rFonts w:ascii="仿宋" w:hAnsi="仿宋" w:eastAsia="仿宋"/>
          <w:color w:val="auto"/>
          <w:sz w:val="24"/>
          <w:highlight w:val="none"/>
        </w:rPr>
        <w:t>要负责协调相关方，及时处理质疑，配合投诉调查和上报。在处理过程中须及时向</w:t>
      </w:r>
      <w:r>
        <w:rPr>
          <w:rFonts w:hint="eastAsia" w:ascii="仿宋" w:hAnsi="仿宋" w:eastAsia="仿宋" w:cs="仿宋"/>
          <w:color w:val="auto"/>
          <w:sz w:val="24"/>
          <w:szCs w:val="24"/>
          <w:highlight w:val="none"/>
          <w:lang w:val="en-US" w:eastAsia="zh-CN"/>
        </w:rPr>
        <w:t>招标人（即征集人或其指定部门）</w:t>
      </w:r>
      <w:r>
        <w:rPr>
          <w:rFonts w:ascii="仿宋" w:hAnsi="仿宋" w:eastAsia="仿宋"/>
          <w:color w:val="auto"/>
          <w:sz w:val="24"/>
          <w:highlight w:val="none"/>
        </w:rPr>
        <w:t>汇报进度并形成相关材料，相关回复和公告须经</w:t>
      </w:r>
      <w:r>
        <w:rPr>
          <w:rFonts w:hint="eastAsia" w:ascii="仿宋" w:hAnsi="仿宋" w:eastAsia="仿宋" w:cs="仿宋"/>
          <w:color w:val="auto"/>
          <w:sz w:val="24"/>
          <w:szCs w:val="24"/>
          <w:highlight w:val="none"/>
          <w:lang w:val="en-US" w:eastAsia="zh-CN"/>
        </w:rPr>
        <w:t>招标人（即征集人或其指定部门）</w:t>
      </w:r>
      <w:r>
        <w:rPr>
          <w:rFonts w:ascii="仿宋" w:hAnsi="仿宋" w:eastAsia="仿宋"/>
          <w:color w:val="auto"/>
          <w:sz w:val="24"/>
          <w:highlight w:val="none"/>
        </w:rPr>
        <w:t>认可后发布。</w:t>
      </w:r>
    </w:p>
    <w:p w14:paraId="67B36E7F">
      <w:pPr>
        <w:pStyle w:val="16"/>
        <w:pageBreakBefore w:val="0"/>
        <w:widowControl/>
        <w:numPr>
          <w:ilvl w:val="0"/>
          <w:numId w:val="0"/>
        </w:numPr>
        <w:shd w:val="clear"/>
        <w:kinsoku/>
        <w:wordWrap/>
        <w:overflowPunct/>
        <w:topLinePunct w:val="0"/>
        <w:autoSpaceDE/>
        <w:autoSpaceDN/>
        <w:bidi w:val="0"/>
        <w:adjustRightInd/>
        <w:snapToGrid/>
        <w:spacing w:line="500" w:lineRule="exact"/>
        <w:ind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2.3</w:t>
      </w:r>
      <w:r>
        <w:rPr>
          <w:rFonts w:hint="eastAsia" w:ascii="仿宋" w:hAnsi="仿宋" w:eastAsia="仿宋" w:cs="仿宋"/>
          <w:b/>
          <w:bCs/>
          <w:color w:val="auto"/>
          <w:sz w:val="24"/>
          <w:szCs w:val="24"/>
          <w:highlight w:val="none"/>
        </w:rPr>
        <w:t>资料管理</w:t>
      </w:r>
    </w:p>
    <w:p w14:paraId="3452E0ED">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料分类与整理：第三方咨询机构建立完善资料管理制度，对项目实施过程中产生的各类资料进行分类整理。资料分为项目前期资料、招标代理资料、清单及控制价编制资料、项目沟通资料等类别。每类资料按照时间顺序、文件编号等在六安市公共资源交易平台项目档案管理模块进行有序上传和排列，并建立详细电子资料目录。</w:t>
      </w:r>
    </w:p>
    <w:p w14:paraId="6E478B5C">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料保管：各类资料采用电子文档与纸质文档双重备份方式。电子文档存储在专用移动硬盘或六安市公共资源交易平台指定云存储平台上，定期进行数据备份，确保数据安全；纸质文档存放在专门文件柜中，做好防潮、防火、防虫等措施。资料保管期限不少于项目竣工后的5年，且符合档案管理相关规定。</w:t>
      </w:r>
    </w:p>
    <w:p w14:paraId="449C2725">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料提交：按招标人（即征集人或其指定部门）要求格式和时间节点，通过六安市公共资源交易平台资料提交模块及时提交相关资料。提交资料前，对资料完整性、准确性进行审核，确保提交资料符合招标人（即征集人或其指定部门）要求。重要资料提交采用平台电子签收或书面签收方式，以便追溯。</w:t>
      </w:r>
    </w:p>
    <w:p w14:paraId="4B5E0EE8">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00" w:lineRule="exact"/>
        <w:ind w:left="0" w:firstLine="482" w:firstLineChars="200"/>
        <w:jc w:val="left"/>
        <w:textAlignment w:val="auto"/>
        <w:outlineLvl w:val="0"/>
        <w:rPr>
          <w:rFonts w:hint="eastAsia" w:ascii="仿宋" w:hAnsi="仿宋" w:eastAsia="仿宋" w:cs="仿宋"/>
          <w:bCs w:val="0"/>
          <w:color w:val="auto"/>
          <w:kern w:val="0"/>
          <w:sz w:val="24"/>
          <w:szCs w:val="24"/>
          <w:highlight w:val="none"/>
          <w:lang w:val="en-US" w:eastAsia="zh-CN" w:bidi="ar-SA"/>
        </w:rPr>
      </w:pPr>
      <w:bookmarkStart w:id="31" w:name="_Toc20417"/>
      <w:bookmarkStart w:id="32" w:name="_Toc613"/>
      <w:bookmarkStart w:id="33" w:name="_Toc14713"/>
      <w:r>
        <w:rPr>
          <w:rFonts w:hint="eastAsia" w:ascii="仿宋" w:hAnsi="仿宋" w:eastAsia="仿宋" w:cs="仿宋"/>
          <w:bCs w:val="0"/>
          <w:color w:val="auto"/>
          <w:kern w:val="0"/>
          <w:sz w:val="24"/>
          <w:szCs w:val="24"/>
          <w:highlight w:val="none"/>
          <w:lang w:val="en-US" w:eastAsia="zh-CN" w:bidi="ar-SA"/>
        </w:rPr>
        <w:t>五、服务期限</w:t>
      </w:r>
      <w:bookmarkEnd w:id="31"/>
      <w:bookmarkEnd w:id="32"/>
      <w:bookmarkEnd w:id="33"/>
    </w:p>
    <w:p w14:paraId="2E9F9E2B">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bookmarkStart w:id="34" w:name="_Toc21571"/>
      <w:bookmarkStart w:id="35" w:name="_Toc7"/>
      <w:bookmarkStart w:id="36" w:name="_Toc15733"/>
      <w:r>
        <w:rPr>
          <w:rFonts w:hint="eastAsia" w:ascii="仿宋" w:hAnsi="仿宋" w:eastAsia="仿宋" w:cs="仿宋"/>
          <w:color w:val="auto"/>
          <w:sz w:val="24"/>
          <w:szCs w:val="24"/>
          <w:highlight w:val="none"/>
          <w:lang w:val="en-US" w:eastAsia="zh-CN"/>
        </w:rPr>
        <w:t>12个月。</w:t>
      </w:r>
    </w:p>
    <w:p w14:paraId="27645DB8">
      <w:pPr>
        <w:pStyle w:val="5"/>
        <w:keepNext/>
        <w:keepLines/>
        <w:pageBreakBefore w:val="0"/>
        <w:widowControl/>
        <w:numPr>
          <w:ilvl w:val="0"/>
          <w:numId w:val="0"/>
        </w:numPr>
        <w:shd w:val="clear"/>
        <w:kinsoku/>
        <w:wordWrap/>
        <w:overflowPunct/>
        <w:topLinePunct w:val="0"/>
        <w:autoSpaceDE/>
        <w:autoSpaceDN/>
        <w:bidi w:val="0"/>
        <w:adjustRightInd/>
        <w:snapToGrid/>
        <w:spacing w:before="0" w:after="0" w:line="500" w:lineRule="exact"/>
        <w:ind w:left="0" w:firstLine="482" w:firstLineChars="200"/>
        <w:jc w:val="left"/>
        <w:textAlignment w:val="auto"/>
        <w:outlineLvl w:val="0"/>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六、服务费用计费标准及支付节点：</w:t>
      </w:r>
      <w:bookmarkEnd w:id="34"/>
      <w:bookmarkEnd w:id="35"/>
      <w:bookmarkEnd w:id="36"/>
    </w:p>
    <w:p w14:paraId="1767D151">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1、服务费用构成：由招标代理费和清单及控制价编制费两部分组成。</w:t>
      </w:r>
    </w:p>
    <w:p w14:paraId="2CF38FFF">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2、计费标准</w:t>
      </w:r>
    </w:p>
    <w:p w14:paraId="608A4736">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（1）支付方：进场交易项目由招标人（即征集人或其指定部门）支付；非进场交易项目由成交人支付。</w:t>
      </w:r>
    </w:p>
    <w:p w14:paraId="73D03A13">
      <w:pPr>
        <w:pStyle w:val="16"/>
        <w:pageBreakBefore w:val="0"/>
        <w:widowControl/>
        <w:shd w:val="clear"/>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（2）收费标准：招标代理费、清单及控制价编制费以下列收费标准80%计取（代理费不足3000元，按3000元收取，清单及控制价编制费不足1000元，按1000元收取）。</w:t>
      </w:r>
    </w:p>
    <w:p w14:paraId="3220EF97">
      <w:pPr>
        <w:pStyle w:val="16"/>
        <w:keepNext w:val="0"/>
        <w:keepLines w:val="0"/>
        <w:pageBreakBefore w:val="0"/>
        <w:widowControl/>
        <w:shd w:val="clear"/>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招标代理收费标准</w:t>
      </w:r>
    </w:p>
    <w:tbl>
      <w:tblPr>
        <w:tblStyle w:val="1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63"/>
        <w:gridCol w:w="1893"/>
        <w:gridCol w:w="1810"/>
        <w:gridCol w:w="1872"/>
      </w:tblGrid>
      <w:tr w14:paraId="01B1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3763" w:type="dxa"/>
            <w:noWrap/>
            <w:vAlign w:val="center"/>
          </w:tcPr>
          <w:p w14:paraId="7A3988E0">
            <w:pPr>
              <w:keepNext w:val="0"/>
              <w:keepLines w:val="0"/>
              <w:widowControl/>
              <w:suppressLineNumbers w:val="0"/>
              <w:shd w:val="clear" w:color="auto"/>
              <w:wordWrap/>
              <w:spacing w:line="24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中标（成交）金额（万元）</w:t>
            </w:r>
          </w:p>
        </w:tc>
        <w:tc>
          <w:tcPr>
            <w:tcW w:w="1893" w:type="dxa"/>
            <w:noWrap/>
            <w:vAlign w:val="center"/>
          </w:tcPr>
          <w:p w14:paraId="2E6D0469">
            <w:pPr>
              <w:keepNext w:val="0"/>
              <w:keepLines w:val="0"/>
              <w:widowControl/>
              <w:suppressLineNumbers w:val="0"/>
              <w:shd w:val="clear" w:color="auto"/>
              <w:wordWrap/>
              <w:spacing w:line="240" w:lineRule="auto"/>
              <w:jc w:val="center"/>
              <w:textAlignment w:val="center"/>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0"/>
                <w:sz w:val="24"/>
                <w:szCs w:val="24"/>
                <w:highlight w:val="none"/>
                <w:lang w:val="en-US" w:eastAsia="zh-CN" w:bidi="ar"/>
              </w:rPr>
              <w:t>货物类项目</w:t>
            </w:r>
          </w:p>
        </w:tc>
        <w:tc>
          <w:tcPr>
            <w:tcW w:w="1810" w:type="dxa"/>
            <w:noWrap/>
            <w:vAlign w:val="center"/>
          </w:tcPr>
          <w:p w14:paraId="4AE07992">
            <w:pPr>
              <w:keepNext w:val="0"/>
              <w:keepLines w:val="0"/>
              <w:widowControl/>
              <w:suppressLineNumbers w:val="0"/>
              <w:shd w:val="clear" w:color="auto"/>
              <w:wordWrap/>
              <w:spacing w:line="240" w:lineRule="auto"/>
              <w:jc w:val="center"/>
              <w:textAlignment w:val="center"/>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0"/>
                <w:sz w:val="24"/>
                <w:szCs w:val="24"/>
                <w:highlight w:val="none"/>
                <w:lang w:val="en-US" w:eastAsia="zh-CN" w:bidi="ar"/>
              </w:rPr>
              <w:t>服务类项目</w:t>
            </w:r>
          </w:p>
        </w:tc>
        <w:tc>
          <w:tcPr>
            <w:tcW w:w="1872" w:type="dxa"/>
            <w:noWrap/>
            <w:vAlign w:val="center"/>
          </w:tcPr>
          <w:p w14:paraId="01D771F8">
            <w:pPr>
              <w:keepNext w:val="0"/>
              <w:keepLines w:val="0"/>
              <w:widowControl/>
              <w:suppressLineNumbers w:val="0"/>
              <w:shd w:val="clear" w:color="auto"/>
              <w:wordWrap/>
              <w:spacing w:line="240" w:lineRule="auto"/>
              <w:jc w:val="center"/>
              <w:textAlignment w:val="center"/>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0"/>
                <w:sz w:val="24"/>
                <w:szCs w:val="24"/>
                <w:highlight w:val="none"/>
                <w:lang w:val="en-US" w:eastAsia="zh-CN" w:bidi="ar"/>
              </w:rPr>
              <w:t>工程类项目</w:t>
            </w:r>
          </w:p>
        </w:tc>
      </w:tr>
      <w:tr w14:paraId="4222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3763" w:type="dxa"/>
            <w:noWrap/>
            <w:vAlign w:val="center"/>
          </w:tcPr>
          <w:p w14:paraId="13DE08DD">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100 以下</w:t>
            </w:r>
          </w:p>
        </w:tc>
        <w:tc>
          <w:tcPr>
            <w:tcW w:w="1893" w:type="dxa"/>
            <w:noWrap/>
            <w:vAlign w:val="center"/>
          </w:tcPr>
          <w:p w14:paraId="5A758DA6">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1.5%</w:t>
            </w:r>
          </w:p>
        </w:tc>
        <w:tc>
          <w:tcPr>
            <w:tcW w:w="1810" w:type="dxa"/>
            <w:noWrap/>
            <w:vAlign w:val="center"/>
          </w:tcPr>
          <w:p w14:paraId="7777CD0E">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1.5%</w:t>
            </w:r>
          </w:p>
        </w:tc>
        <w:tc>
          <w:tcPr>
            <w:tcW w:w="1872" w:type="dxa"/>
            <w:noWrap/>
            <w:vAlign w:val="center"/>
          </w:tcPr>
          <w:p w14:paraId="71409B4F">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w:t>
            </w:r>
          </w:p>
        </w:tc>
      </w:tr>
      <w:tr w14:paraId="4CD5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3763" w:type="dxa"/>
            <w:noWrap/>
            <w:vAlign w:val="center"/>
          </w:tcPr>
          <w:p w14:paraId="19999776">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100-500</w:t>
            </w:r>
          </w:p>
        </w:tc>
        <w:tc>
          <w:tcPr>
            <w:tcW w:w="1893" w:type="dxa"/>
            <w:noWrap/>
            <w:vAlign w:val="center"/>
          </w:tcPr>
          <w:p w14:paraId="6A7E8C36">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810" w:type="dxa"/>
            <w:noWrap/>
            <w:vAlign w:val="center"/>
          </w:tcPr>
          <w:p w14:paraId="248049AC">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0.8%</w:t>
            </w:r>
          </w:p>
        </w:tc>
        <w:tc>
          <w:tcPr>
            <w:tcW w:w="1872" w:type="dxa"/>
            <w:noWrap/>
            <w:vAlign w:val="center"/>
          </w:tcPr>
          <w:p w14:paraId="492D5C79">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0.7%</w:t>
            </w:r>
          </w:p>
        </w:tc>
      </w:tr>
      <w:tr w14:paraId="3202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3763" w:type="dxa"/>
            <w:noWrap/>
            <w:vAlign w:val="center"/>
          </w:tcPr>
          <w:p w14:paraId="4EE0C42C">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500-1000</w:t>
            </w:r>
          </w:p>
        </w:tc>
        <w:tc>
          <w:tcPr>
            <w:tcW w:w="1893" w:type="dxa"/>
            <w:noWrap/>
            <w:vAlign w:val="center"/>
          </w:tcPr>
          <w:p w14:paraId="0CE68ED8">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0.8%</w:t>
            </w:r>
          </w:p>
        </w:tc>
        <w:tc>
          <w:tcPr>
            <w:tcW w:w="1810" w:type="dxa"/>
            <w:noWrap/>
            <w:vAlign w:val="center"/>
          </w:tcPr>
          <w:p w14:paraId="48D0DF26">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0.45%</w:t>
            </w:r>
          </w:p>
        </w:tc>
        <w:tc>
          <w:tcPr>
            <w:tcW w:w="1872" w:type="dxa"/>
            <w:noWrap/>
            <w:vAlign w:val="center"/>
          </w:tcPr>
          <w:p w14:paraId="22004332">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0.55%</w:t>
            </w:r>
          </w:p>
        </w:tc>
      </w:tr>
      <w:tr w14:paraId="57ED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3763" w:type="dxa"/>
            <w:noWrap/>
            <w:vAlign w:val="center"/>
          </w:tcPr>
          <w:p w14:paraId="7AFAB0A0">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1000-5000</w:t>
            </w:r>
          </w:p>
        </w:tc>
        <w:tc>
          <w:tcPr>
            <w:tcW w:w="1893" w:type="dxa"/>
            <w:noWrap/>
            <w:vAlign w:val="center"/>
          </w:tcPr>
          <w:p w14:paraId="3C5ADE24">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0.5%</w:t>
            </w:r>
          </w:p>
        </w:tc>
        <w:tc>
          <w:tcPr>
            <w:tcW w:w="1810" w:type="dxa"/>
            <w:noWrap/>
            <w:vAlign w:val="center"/>
          </w:tcPr>
          <w:p w14:paraId="51BDF64A">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0.25%</w:t>
            </w:r>
          </w:p>
        </w:tc>
        <w:tc>
          <w:tcPr>
            <w:tcW w:w="1872" w:type="dxa"/>
            <w:noWrap/>
            <w:vAlign w:val="center"/>
          </w:tcPr>
          <w:p w14:paraId="14D3B195">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0.35%</w:t>
            </w:r>
          </w:p>
        </w:tc>
      </w:tr>
      <w:tr w14:paraId="322E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3763" w:type="dxa"/>
            <w:noWrap/>
            <w:vAlign w:val="center"/>
          </w:tcPr>
          <w:p w14:paraId="05A24A6E">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5000-10000</w:t>
            </w:r>
          </w:p>
        </w:tc>
        <w:tc>
          <w:tcPr>
            <w:tcW w:w="1893" w:type="dxa"/>
            <w:noWrap/>
            <w:vAlign w:val="center"/>
          </w:tcPr>
          <w:p w14:paraId="2AFF0B75">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0.25%</w:t>
            </w:r>
          </w:p>
        </w:tc>
        <w:tc>
          <w:tcPr>
            <w:tcW w:w="1810" w:type="dxa"/>
            <w:noWrap/>
            <w:vAlign w:val="center"/>
          </w:tcPr>
          <w:p w14:paraId="317D4B68">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0.1%</w:t>
            </w:r>
          </w:p>
        </w:tc>
        <w:tc>
          <w:tcPr>
            <w:tcW w:w="1872" w:type="dxa"/>
            <w:noWrap/>
            <w:vAlign w:val="center"/>
          </w:tcPr>
          <w:p w14:paraId="13F00DC7">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0.2%</w:t>
            </w:r>
          </w:p>
        </w:tc>
      </w:tr>
      <w:tr w14:paraId="1A81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3763" w:type="dxa"/>
            <w:noWrap/>
            <w:vAlign w:val="center"/>
          </w:tcPr>
          <w:p w14:paraId="2B0D1E3A">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10000-100000</w:t>
            </w:r>
          </w:p>
        </w:tc>
        <w:tc>
          <w:tcPr>
            <w:tcW w:w="1893" w:type="dxa"/>
            <w:noWrap/>
            <w:vAlign w:val="center"/>
          </w:tcPr>
          <w:p w14:paraId="184C5059">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0.05%</w:t>
            </w:r>
          </w:p>
        </w:tc>
        <w:tc>
          <w:tcPr>
            <w:tcW w:w="1810" w:type="dxa"/>
            <w:noWrap/>
            <w:vAlign w:val="center"/>
          </w:tcPr>
          <w:p w14:paraId="404D033B">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0.05%</w:t>
            </w:r>
          </w:p>
        </w:tc>
        <w:tc>
          <w:tcPr>
            <w:tcW w:w="1872" w:type="dxa"/>
            <w:noWrap/>
            <w:vAlign w:val="center"/>
          </w:tcPr>
          <w:p w14:paraId="24CCC512">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0.05%</w:t>
            </w:r>
          </w:p>
        </w:tc>
      </w:tr>
      <w:tr w14:paraId="6C47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jc w:val="center"/>
        </w:trPr>
        <w:tc>
          <w:tcPr>
            <w:tcW w:w="3763" w:type="dxa"/>
            <w:noWrap/>
            <w:vAlign w:val="center"/>
          </w:tcPr>
          <w:p w14:paraId="4F66431B">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100000 以上</w:t>
            </w:r>
          </w:p>
        </w:tc>
        <w:tc>
          <w:tcPr>
            <w:tcW w:w="1893" w:type="dxa"/>
            <w:noWrap/>
            <w:vAlign w:val="center"/>
          </w:tcPr>
          <w:p w14:paraId="23704ADC">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0.01%</w:t>
            </w:r>
          </w:p>
        </w:tc>
        <w:tc>
          <w:tcPr>
            <w:tcW w:w="1810" w:type="dxa"/>
            <w:noWrap/>
            <w:vAlign w:val="center"/>
          </w:tcPr>
          <w:p w14:paraId="72598EF3">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0.01%</w:t>
            </w:r>
          </w:p>
        </w:tc>
        <w:tc>
          <w:tcPr>
            <w:tcW w:w="1872" w:type="dxa"/>
            <w:noWrap/>
            <w:vAlign w:val="center"/>
          </w:tcPr>
          <w:p w14:paraId="5592D9A9">
            <w:pPr>
              <w:keepNext w:val="0"/>
              <w:keepLines w:val="0"/>
              <w:widowControl/>
              <w:suppressLineNumbers w:val="0"/>
              <w:shd w:val="clear" w:color="auto"/>
              <w:wordWrap/>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0.01%</w:t>
            </w:r>
          </w:p>
        </w:tc>
      </w:tr>
    </w:tbl>
    <w:p w14:paraId="45B783A3">
      <w:pPr>
        <w:keepNext w:val="0"/>
        <w:keepLines w:val="0"/>
        <w:pageBreakBefore w:val="0"/>
        <w:widowControl/>
        <w:shd w:val="clear" w:color="auto"/>
        <w:wordWrap/>
        <w:overflowPunct/>
        <w:topLinePunct w:val="0"/>
        <w:bidi w:val="0"/>
        <w:spacing w:line="50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注：招标代理服务费按差额定率累进法计算。</w:t>
      </w:r>
    </w:p>
    <w:p w14:paraId="5C0C87D9">
      <w:pPr>
        <w:pStyle w:val="16"/>
        <w:keepNext w:val="0"/>
        <w:keepLines w:val="0"/>
        <w:pageBreakBefore w:val="0"/>
        <w:widowControl/>
        <w:shd w:val="clear"/>
        <w:wordWrap/>
        <w:overflowPunct/>
        <w:topLinePunct w:val="0"/>
        <w:bidi w:val="0"/>
        <w:spacing w:before="0" w:after="0"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清单及控制价编制收费标准</w:t>
      </w:r>
    </w:p>
    <w:p w14:paraId="5D37A36C">
      <w:pPr>
        <w:pStyle w:val="16"/>
        <w:keepNext w:val="0"/>
        <w:keepLines w:val="0"/>
        <w:pageBreakBefore w:val="0"/>
        <w:widowControl/>
        <w:shd w:val="clear"/>
        <w:wordWrap/>
        <w:overflowPunct/>
        <w:topLinePunct w:val="0"/>
        <w:bidi w:val="0"/>
        <w:spacing w:before="0" w:after="0" w:line="500" w:lineRule="exact"/>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bl>
      <w:tblPr>
        <w:tblStyle w:val="12"/>
        <w:tblpPr w:leftFromText="180" w:rightFromText="180" w:vertAnchor="text" w:horzAnchor="page" w:tblpX="1410" w:tblpY="342"/>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1651"/>
        <w:gridCol w:w="707"/>
        <w:gridCol w:w="1681"/>
        <w:gridCol w:w="800"/>
        <w:gridCol w:w="640"/>
        <w:gridCol w:w="554"/>
        <w:gridCol w:w="406"/>
        <w:gridCol w:w="692"/>
        <w:gridCol w:w="506"/>
        <w:gridCol w:w="539"/>
        <w:gridCol w:w="21"/>
        <w:gridCol w:w="648"/>
      </w:tblGrid>
      <w:tr w14:paraId="3527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9" w:hRule="atLeast"/>
        </w:trPr>
        <w:tc>
          <w:tcPr>
            <w:tcW w:w="2165" w:type="dxa"/>
            <w:gridSpan w:val="2"/>
            <w:vMerge w:val="restart"/>
            <w:noWrap w:val="0"/>
            <w:vAlign w:val="center"/>
          </w:tcPr>
          <w:p w14:paraId="0C4C944D">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咨询项目</w:t>
            </w:r>
          </w:p>
        </w:tc>
        <w:tc>
          <w:tcPr>
            <w:tcW w:w="707" w:type="dxa"/>
            <w:vMerge w:val="restart"/>
            <w:noWrap w:val="0"/>
            <w:vAlign w:val="center"/>
          </w:tcPr>
          <w:p w14:paraId="7D09E7FA">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收费</w:t>
            </w:r>
          </w:p>
          <w:p w14:paraId="43D42D09">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基础</w:t>
            </w:r>
          </w:p>
        </w:tc>
        <w:tc>
          <w:tcPr>
            <w:tcW w:w="1681" w:type="dxa"/>
            <w:vMerge w:val="restart"/>
            <w:noWrap w:val="0"/>
            <w:vAlign w:val="center"/>
          </w:tcPr>
          <w:p w14:paraId="1222D3DB">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工程类型</w:t>
            </w:r>
          </w:p>
        </w:tc>
        <w:tc>
          <w:tcPr>
            <w:tcW w:w="4806" w:type="dxa"/>
            <w:gridSpan w:val="9"/>
            <w:noWrap w:val="0"/>
            <w:vAlign w:val="center"/>
          </w:tcPr>
          <w:p w14:paraId="331BD985">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单位工程金额(万元)</w:t>
            </w:r>
          </w:p>
        </w:tc>
      </w:tr>
      <w:tr w14:paraId="6ABD2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6" w:hRule="atLeast"/>
        </w:trPr>
        <w:tc>
          <w:tcPr>
            <w:tcW w:w="2165" w:type="dxa"/>
            <w:gridSpan w:val="2"/>
            <w:vMerge w:val="continue"/>
            <w:noWrap w:val="0"/>
            <w:vAlign w:val="center"/>
          </w:tcPr>
          <w:p w14:paraId="12CBB41C">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707" w:type="dxa"/>
            <w:vMerge w:val="continue"/>
            <w:noWrap w:val="0"/>
            <w:vAlign w:val="center"/>
          </w:tcPr>
          <w:p w14:paraId="3BF776F3">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1681" w:type="dxa"/>
            <w:vMerge w:val="continue"/>
            <w:noWrap w:val="0"/>
            <w:vAlign w:val="center"/>
          </w:tcPr>
          <w:p w14:paraId="54477A47">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800" w:type="dxa"/>
            <w:noWrap w:val="0"/>
            <w:vAlign w:val="center"/>
          </w:tcPr>
          <w:p w14:paraId="3AEC925D">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100</w:t>
            </w:r>
          </w:p>
          <w:p w14:paraId="17DC25EE">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以内</w:t>
            </w:r>
          </w:p>
        </w:tc>
        <w:tc>
          <w:tcPr>
            <w:tcW w:w="640" w:type="dxa"/>
            <w:noWrap w:val="0"/>
            <w:vAlign w:val="center"/>
          </w:tcPr>
          <w:p w14:paraId="553A44C5">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200</w:t>
            </w:r>
          </w:p>
          <w:p w14:paraId="0EB08A93">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以内</w:t>
            </w:r>
          </w:p>
        </w:tc>
        <w:tc>
          <w:tcPr>
            <w:tcW w:w="554" w:type="dxa"/>
            <w:noWrap w:val="0"/>
            <w:vAlign w:val="center"/>
          </w:tcPr>
          <w:p w14:paraId="7BE25A09">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500</w:t>
            </w:r>
          </w:p>
          <w:p w14:paraId="37F045C1">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以内</w:t>
            </w:r>
          </w:p>
        </w:tc>
        <w:tc>
          <w:tcPr>
            <w:tcW w:w="406" w:type="dxa"/>
            <w:noWrap w:val="0"/>
            <w:vAlign w:val="center"/>
          </w:tcPr>
          <w:p w14:paraId="63704757">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1000</w:t>
            </w:r>
          </w:p>
          <w:p w14:paraId="352677CA">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以内</w:t>
            </w:r>
          </w:p>
        </w:tc>
        <w:tc>
          <w:tcPr>
            <w:tcW w:w="692" w:type="dxa"/>
            <w:noWrap w:val="0"/>
            <w:vAlign w:val="center"/>
          </w:tcPr>
          <w:p w14:paraId="2837AB70">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2000</w:t>
            </w:r>
          </w:p>
          <w:p w14:paraId="6357E97E">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以内</w:t>
            </w:r>
          </w:p>
        </w:tc>
        <w:tc>
          <w:tcPr>
            <w:tcW w:w="506" w:type="dxa"/>
            <w:noWrap w:val="0"/>
            <w:vAlign w:val="center"/>
          </w:tcPr>
          <w:p w14:paraId="1C6B74F7">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5000</w:t>
            </w:r>
          </w:p>
          <w:p w14:paraId="1C304698">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以内</w:t>
            </w:r>
          </w:p>
        </w:tc>
        <w:tc>
          <w:tcPr>
            <w:tcW w:w="560" w:type="dxa"/>
            <w:gridSpan w:val="2"/>
            <w:noWrap w:val="0"/>
            <w:vAlign w:val="center"/>
          </w:tcPr>
          <w:p w14:paraId="73EA5B9E">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10000</w:t>
            </w:r>
          </w:p>
          <w:p w14:paraId="3FD3B61A">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以内</w:t>
            </w:r>
          </w:p>
        </w:tc>
        <w:tc>
          <w:tcPr>
            <w:tcW w:w="648" w:type="dxa"/>
            <w:noWrap w:val="0"/>
            <w:vAlign w:val="center"/>
          </w:tcPr>
          <w:p w14:paraId="7726D072">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10000</w:t>
            </w:r>
          </w:p>
          <w:p w14:paraId="6B06CB62">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以上</w:t>
            </w:r>
          </w:p>
        </w:tc>
      </w:tr>
      <w:tr w14:paraId="7AAE7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9" w:hRule="atLeast"/>
        </w:trPr>
        <w:tc>
          <w:tcPr>
            <w:tcW w:w="514" w:type="dxa"/>
            <w:vMerge w:val="restart"/>
            <w:noWrap w:val="0"/>
            <w:vAlign w:val="center"/>
          </w:tcPr>
          <w:p w14:paraId="474916BD">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清</w:t>
            </w:r>
          </w:p>
          <w:p w14:paraId="6F9B7989">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单</w:t>
            </w:r>
          </w:p>
          <w:p w14:paraId="7D528546">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计</w:t>
            </w:r>
          </w:p>
          <w:p w14:paraId="528616B9">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价</w:t>
            </w:r>
          </w:p>
        </w:tc>
        <w:tc>
          <w:tcPr>
            <w:tcW w:w="1651" w:type="dxa"/>
            <w:vMerge w:val="restart"/>
            <w:noWrap w:val="0"/>
            <w:vAlign w:val="center"/>
          </w:tcPr>
          <w:p w14:paraId="3373BA71">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工程量清单编制</w:t>
            </w:r>
          </w:p>
        </w:tc>
        <w:tc>
          <w:tcPr>
            <w:tcW w:w="707" w:type="dxa"/>
            <w:vMerge w:val="restart"/>
            <w:noWrap w:val="0"/>
            <w:vAlign w:val="center"/>
          </w:tcPr>
          <w:p w14:paraId="4733781A">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中标价</w:t>
            </w:r>
          </w:p>
        </w:tc>
        <w:tc>
          <w:tcPr>
            <w:tcW w:w="1681" w:type="dxa"/>
            <w:noWrap w:val="0"/>
            <w:vAlign w:val="center"/>
          </w:tcPr>
          <w:p w14:paraId="26B50B40">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建筑工程</w:t>
            </w:r>
          </w:p>
        </w:tc>
        <w:tc>
          <w:tcPr>
            <w:tcW w:w="800" w:type="dxa"/>
            <w:noWrap w:val="0"/>
            <w:vAlign w:val="center"/>
          </w:tcPr>
          <w:p w14:paraId="3978C22D">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4.8</w:t>
            </w:r>
          </w:p>
        </w:tc>
        <w:tc>
          <w:tcPr>
            <w:tcW w:w="640" w:type="dxa"/>
            <w:noWrap w:val="0"/>
            <w:vAlign w:val="center"/>
          </w:tcPr>
          <w:p w14:paraId="1F6DAA53">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4.3</w:t>
            </w:r>
          </w:p>
        </w:tc>
        <w:tc>
          <w:tcPr>
            <w:tcW w:w="554" w:type="dxa"/>
            <w:noWrap w:val="0"/>
            <w:vAlign w:val="center"/>
          </w:tcPr>
          <w:p w14:paraId="04620A89">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3.8</w:t>
            </w:r>
          </w:p>
        </w:tc>
        <w:tc>
          <w:tcPr>
            <w:tcW w:w="406" w:type="dxa"/>
            <w:noWrap w:val="0"/>
            <w:vAlign w:val="center"/>
          </w:tcPr>
          <w:p w14:paraId="2F372C30">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3.4</w:t>
            </w:r>
          </w:p>
        </w:tc>
        <w:tc>
          <w:tcPr>
            <w:tcW w:w="692" w:type="dxa"/>
            <w:noWrap w:val="0"/>
            <w:vAlign w:val="center"/>
          </w:tcPr>
          <w:p w14:paraId="2F96287D">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3.0</w:t>
            </w:r>
          </w:p>
        </w:tc>
        <w:tc>
          <w:tcPr>
            <w:tcW w:w="506" w:type="dxa"/>
            <w:noWrap w:val="0"/>
            <w:vAlign w:val="center"/>
          </w:tcPr>
          <w:p w14:paraId="5977D9A4">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2.8</w:t>
            </w:r>
          </w:p>
        </w:tc>
        <w:tc>
          <w:tcPr>
            <w:tcW w:w="539" w:type="dxa"/>
            <w:noWrap w:val="0"/>
            <w:vAlign w:val="center"/>
          </w:tcPr>
          <w:p w14:paraId="3C770399">
            <w:pPr>
              <w:shd w:val="clear"/>
              <w:adjustRightInd w:val="0"/>
              <w:snapToGrid w:val="0"/>
              <w:spacing w:line="216" w:lineRule="auto"/>
              <w:ind w:left="270" w:hanging="270" w:hangingChars="15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2.5</w:t>
            </w:r>
          </w:p>
        </w:tc>
        <w:tc>
          <w:tcPr>
            <w:tcW w:w="669" w:type="dxa"/>
            <w:gridSpan w:val="2"/>
            <w:noWrap w:val="0"/>
            <w:vAlign w:val="center"/>
          </w:tcPr>
          <w:p w14:paraId="0805ECC6">
            <w:pPr>
              <w:shd w:val="clear"/>
              <w:adjustRightInd w:val="0"/>
              <w:snapToGrid w:val="0"/>
              <w:spacing w:line="216" w:lineRule="auto"/>
              <w:ind w:left="270" w:hanging="270" w:hangingChars="15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2.3</w:t>
            </w:r>
          </w:p>
        </w:tc>
      </w:tr>
      <w:tr w14:paraId="57DE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9" w:hRule="atLeast"/>
        </w:trPr>
        <w:tc>
          <w:tcPr>
            <w:tcW w:w="514" w:type="dxa"/>
            <w:vMerge w:val="continue"/>
            <w:noWrap w:val="0"/>
            <w:vAlign w:val="center"/>
          </w:tcPr>
          <w:p w14:paraId="7641A328">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1651" w:type="dxa"/>
            <w:vMerge w:val="continue"/>
            <w:noWrap w:val="0"/>
            <w:vAlign w:val="center"/>
          </w:tcPr>
          <w:p w14:paraId="402D9F22">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707" w:type="dxa"/>
            <w:vMerge w:val="continue"/>
            <w:noWrap w:val="0"/>
            <w:vAlign w:val="center"/>
          </w:tcPr>
          <w:p w14:paraId="10CBEEF3">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1681" w:type="dxa"/>
            <w:noWrap w:val="0"/>
            <w:vAlign w:val="center"/>
          </w:tcPr>
          <w:p w14:paraId="0353C45A">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安装工程</w:t>
            </w:r>
          </w:p>
        </w:tc>
        <w:tc>
          <w:tcPr>
            <w:tcW w:w="800" w:type="dxa"/>
            <w:noWrap w:val="0"/>
            <w:vAlign w:val="center"/>
          </w:tcPr>
          <w:p w14:paraId="7972F94A">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5.0</w:t>
            </w:r>
          </w:p>
        </w:tc>
        <w:tc>
          <w:tcPr>
            <w:tcW w:w="640" w:type="dxa"/>
            <w:noWrap w:val="0"/>
            <w:vAlign w:val="center"/>
          </w:tcPr>
          <w:p w14:paraId="4ECCE12E">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4.6</w:t>
            </w:r>
          </w:p>
        </w:tc>
        <w:tc>
          <w:tcPr>
            <w:tcW w:w="554" w:type="dxa"/>
            <w:noWrap w:val="0"/>
            <w:vAlign w:val="center"/>
          </w:tcPr>
          <w:p w14:paraId="1419D9FF">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4.0</w:t>
            </w:r>
          </w:p>
        </w:tc>
        <w:tc>
          <w:tcPr>
            <w:tcW w:w="406" w:type="dxa"/>
            <w:noWrap w:val="0"/>
            <w:vAlign w:val="center"/>
          </w:tcPr>
          <w:p w14:paraId="46236946">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3.6</w:t>
            </w:r>
          </w:p>
        </w:tc>
        <w:tc>
          <w:tcPr>
            <w:tcW w:w="692" w:type="dxa"/>
            <w:noWrap w:val="0"/>
            <w:vAlign w:val="center"/>
          </w:tcPr>
          <w:p w14:paraId="034F285E">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3.1</w:t>
            </w:r>
          </w:p>
        </w:tc>
        <w:tc>
          <w:tcPr>
            <w:tcW w:w="506" w:type="dxa"/>
            <w:noWrap w:val="0"/>
            <w:vAlign w:val="center"/>
          </w:tcPr>
          <w:p w14:paraId="4BAC5430">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2.9</w:t>
            </w:r>
          </w:p>
        </w:tc>
        <w:tc>
          <w:tcPr>
            <w:tcW w:w="539" w:type="dxa"/>
            <w:noWrap w:val="0"/>
            <w:vAlign w:val="center"/>
          </w:tcPr>
          <w:p w14:paraId="50B9B59C">
            <w:pPr>
              <w:shd w:val="clear"/>
              <w:adjustRightInd w:val="0"/>
              <w:snapToGrid w:val="0"/>
              <w:spacing w:line="216" w:lineRule="auto"/>
              <w:ind w:left="270" w:hanging="270" w:hangingChars="15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2.6</w:t>
            </w:r>
          </w:p>
        </w:tc>
        <w:tc>
          <w:tcPr>
            <w:tcW w:w="669" w:type="dxa"/>
            <w:gridSpan w:val="2"/>
            <w:noWrap w:val="0"/>
            <w:vAlign w:val="center"/>
          </w:tcPr>
          <w:p w14:paraId="7476E17E">
            <w:pPr>
              <w:shd w:val="clear"/>
              <w:adjustRightInd w:val="0"/>
              <w:snapToGrid w:val="0"/>
              <w:spacing w:line="216" w:lineRule="auto"/>
              <w:ind w:left="270" w:hanging="270" w:hangingChars="15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2.4</w:t>
            </w:r>
          </w:p>
        </w:tc>
      </w:tr>
      <w:tr w14:paraId="73715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4" w:hRule="atLeast"/>
        </w:trPr>
        <w:tc>
          <w:tcPr>
            <w:tcW w:w="514" w:type="dxa"/>
            <w:vMerge w:val="continue"/>
            <w:noWrap w:val="0"/>
            <w:vAlign w:val="center"/>
          </w:tcPr>
          <w:p w14:paraId="1679DF22">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1651" w:type="dxa"/>
            <w:vMerge w:val="restart"/>
            <w:noWrap w:val="0"/>
            <w:vAlign w:val="center"/>
          </w:tcPr>
          <w:p w14:paraId="096AAE43">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控制价(标底价)</w:t>
            </w:r>
          </w:p>
        </w:tc>
        <w:tc>
          <w:tcPr>
            <w:tcW w:w="707" w:type="dxa"/>
            <w:vMerge w:val="restart"/>
            <w:noWrap w:val="0"/>
            <w:vAlign w:val="center"/>
          </w:tcPr>
          <w:p w14:paraId="0155903F">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中标价</w:t>
            </w:r>
          </w:p>
        </w:tc>
        <w:tc>
          <w:tcPr>
            <w:tcW w:w="1681" w:type="dxa"/>
            <w:noWrap w:val="0"/>
            <w:vAlign w:val="center"/>
          </w:tcPr>
          <w:p w14:paraId="1A2C0222">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建筑工程</w:t>
            </w:r>
          </w:p>
        </w:tc>
        <w:tc>
          <w:tcPr>
            <w:tcW w:w="800" w:type="dxa"/>
            <w:noWrap w:val="0"/>
            <w:vAlign w:val="center"/>
          </w:tcPr>
          <w:p w14:paraId="0E04D8F3">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2.0</w:t>
            </w:r>
          </w:p>
        </w:tc>
        <w:tc>
          <w:tcPr>
            <w:tcW w:w="640" w:type="dxa"/>
            <w:noWrap w:val="0"/>
            <w:vAlign w:val="center"/>
          </w:tcPr>
          <w:p w14:paraId="636AA0AD">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1.8</w:t>
            </w:r>
          </w:p>
        </w:tc>
        <w:tc>
          <w:tcPr>
            <w:tcW w:w="554" w:type="dxa"/>
            <w:noWrap w:val="0"/>
            <w:vAlign w:val="center"/>
          </w:tcPr>
          <w:p w14:paraId="49693D5E">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1.6</w:t>
            </w:r>
          </w:p>
        </w:tc>
        <w:tc>
          <w:tcPr>
            <w:tcW w:w="406" w:type="dxa"/>
            <w:noWrap w:val="0"/>
            <w:vAlign w:val="center"/>
          </w:tcPr>
          <w:p w14:paraId="29BCAFAD">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1.4</w:t>
            </w:r>
          </w:p>
        </w:tc>
        <w:tc>
          <w:tcPr>
            <w:tcW w:w="692" w:type="dxa"/>
            <w:noWrap w:val="0"/>
            <w:vAlign w:val="center"/>
          </w:tcPr>
          <w:p w14:paraId="63C4DB67">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1.3</w:t>
            </w:r>
          </w:p>
        </w:tc>
        <w:tc>
          <w:tcPr>
            <w:tcW w:w="506" w:type="dxa"/>
            <w:noWrap w:val="0"/>
            <w:vAlign w:val="center"/>
          </w:tcPr>
          <w:p w14:paraId="3D64DB3F">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1.2</w:t>
            </w:r>
          </w:p>
        </w:tc>
        <w:tc>
          <w:tcPr>
            <w:tcW w:w="539" w:type="dxa"/>
            <w:noWrap w:val="0"/>
            <w:vAlign w:val="center"/>
          </w:tcPr>
          <w:p w14:paraId="601FA6D6">
            <w:pPr>
              <w:shd w:val="clear"/>
              <w:adjustRightInd w:val="0"/>
              <w:snapToGrid w:val="0"/>
              <w:spacing w:line="216" w:lineRule="auto"/>
              <w:ind w:left="270" w:hanging="270" w:hangingChars="15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1.1a</w:t>
            </w:r>
          </w:p>
        </w:tc>
        <w:tc>
          <w:tcPr>
            <w:tcW w:w="669" w:type="dxa"/>
            <w:gridSpan w:val="2"/>
            <w:noWrap w:val="0"/>
            <w:vAlign w:val="center"/>
          </w:tcPr>
          <w:p w14:paraId="448227F5">
            <w:pPr>
              <w:shd w:val="clear"/>
              <w:adjustRightInd w:val="0"/>
              <w:snapToGrid w:val="0"/>
              <w:spacing w:line="216" w:lineRule="auto"/>
              <w:ind w:left="270" w:hanging="270" w:hangingChars="15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1.0</w:t>
            </w:r>
          </w:p>
        </w:tc>
      </w:tr>
      <w:tr w14:paraId="0585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3" w:hRule="atLeast"/>
        </w:trPr>
        <w:tc>
          <w:tcPr>
            <w:tcW w:w="514" w:type="dxa"/>
            <w:vMerge w:val="continue"/>
            <w:noWrap w:val="0"/>
            <w:vAlign w:val="center"/>
          </w:tcPr>
          <w:p w14:paraId="0B17A2BF">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1651" w:type="dxa"/>
            <w:vMerge w:val="continue"/>
            <w:noWrap w:val="0"/>
            <w:vAlign w:val="center"/>
          </w:tcPr>
          <w:p w14:paraId="741AE21E">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707" w:type="dxa"/>
            <w:vMerge w:val="continue"/>
            <w:noWrap w:val="0"/>
            <w:vAlign w:val="center"/>
          </w:tcPr>
          <w:p w14:paraId="485BD364">
            <w:pPr>
              <w:shd w:val="clear"/>
              <w:adjustRightInd w:val="0"/>
              <w:snapToGrid w:val="0"/>
              <w:spacing w:line="216" w:lineRule="auto"/>
              <w:jc w:val="center"/>
              <w:rPr>
                <w:rFonts w:hint="eastAsia" w:ascii="仿宋" w:hAnsi="仿宋" w:eastAsia="仿宋" w:cs="仿宋"/>
                <w:bCs/>
                <w:color w:val="auto"/>
                <w:sz w:val="18"/>
                <w:szCs w:val="18"/>
                <w:highlight w:val="none"/>
              </w:rPr>
            </w:pPr>
          </w:p>
        </w:tc>
        <w:tc>
          <w:tcPr>
            <w:tcW w:w="1681" w:type="dxa"/>
            <w:noWrap w:val="0"/>
            <w:vAlign w:val="center"/>
          </w:tcPr>
          <w:p w14:paraId="43E029DE">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安装工程</w:t>
            </w:r>
          </w:p>
        </w:tc>
        <w:tc>
          <w:tcPr>
            <w:tcW w:w="800" w:type="dxa"/>
            <w:noWrap w:val="0"/>
            <w:vAlign w:val="center"/>
          </w:tcPr>
          <w:p w14:paraId="453DEEBE">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2.1</w:t>
            </w:r>
          </w:p>
        </w:tc>
        <w:tc>
          <w:tcPr>
            <w:tcW w:w="640" w:type="dxa"/>
            <w:noWrap w:val="0"/>
            <w:vAlign w:val="center"/>
          </w:tcPr>
          <w:p w14:paraId="6458345C">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1.9</w:t>
            </w:r>
          </w:p>
        </w:tc>
        <w:tc>
          <w:tcPr>
            <w:tcW w:w="554" w:type="dxa"/>
            <w:noWrap w:val="0"/>
            <w:vAlign w:val="center"/>
          </w:tcPr>
          <w:p w14:paraId="5ED81F88">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1.7</w:t>
            </w:r>
          </w:p>
        </w:tc>
        <w:tc>
          <w:tcPr>
            <w:tcW w:w="406" w:type="dxa"/>
            <w:noWrap w:val="0"/>
            <w:vAlign w:val="center"/>
          </w:tcPr>
          <w:p w14:paraId="6BE3A7ED">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1.6</w:t>
            </w:r>
          </w:p>
        </w:tc>
        <w:tc>
          <w:tcPr>
            <w:tcW w:w="692" w:type="dxa"/>
            <w:noWrap w:val="0"/>
            <w:vAlign w:val="center"/>
          </w:tcPr>
          <w:p w14:paraId="1C7B4C22">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1.4</w:t>
            </w:r>
          </w:p>
        </w:tc>
        <w:tc>
          <w:tcPr>
            <w:tcW w:w="506" w:type="dxa"/>
            <w:noWrap w:val="0"/>
            <w:vAlign w:val="center"/>
          </w:tcPr>
          <w:p w14:paraId="13CE5F28">
            <w:pPr>
              <w:shd w:val="clear"/>
              <w:adjustRightInd w:val="0"/>
              <w:snapToGrid w:val="0"/>
              <w:spacing w:line="216" w:lineRule="auto"/>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1.3</w:t>
            </w:r>
          </w:p>
        </w:tc>
        <w:tc>
          <w:tcPr>
            <w:tcW w:w="539" w:type="dxa"/>
            <w:noWrap w:val="0"/>
            <w:vAlign w:val="center"/>
          </w:tcPr>
          <w:p w14:paraId="20478FC3">
            <w:pPr>
              <w:shd w:val="clear"/>
              <w:adjustRightInd w:val="0"/>
              <w:snapToGrid w:val="0"/>
              <w:spacing w:line="216" w:lineRule="auto"/>
              <w:ind w:left="270" w:hanging="270" w:hangingChars="15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1.2</w:t>
            </w:r>
          </w:p>
        </w:tc>
        <w:tc>
          <w:tcPr>
            <w:tcW w:w="669" w:type="dxa"/>
            <w:gridSpan w:val="2"/>
            <w:noWrap w:val="0"/>
            <w:vAlign w:val="center"/>
          </w:tcPr>
          <w:p w14:paraId="70F5B384">
            <w:pPr>
              <w:shd w:val="clear"/>
              <w:adjustRightInd w:val="0"/>
              <w:snapToGrid w:val="0"/>
              <w:spacing w:line="216" w:lineRule="auto"/>
              <w:ind w:left="270" w:hanging="270" w:hangingChars="15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1.1</w:t>
            </w:r>
          </w:p>
        </w:tc>
      </w:tr>
    </w:tbl>
    <w:p w14:paraId="00A84F96">
      <w:pPr>
        <w:pStyle w:val="16"/>
        <w:keepNext w:val="0"/>
        <w:keepLines w:val="0"/>
        <w:pageBreakBefore w:val="0"/>
        <w:widowControl/>
        <w:numPr>
          <w:ilvl w:val="0"/>
          <w:numId w:val="0"/>
        </w:numPr>
        <w:shd w:val="clear"/>
        <w:kinsoku/>
        <w:wordWrap/>
        <w:overflowPunct/>
        <w:topLinePunct w:val="0"/>
        <w:autoSpaceDE/>
        <w:autoSpaceDN/>
        <w:bidi w:val="0"/>
        <w:adjustRightInd/>
        <w:snapToGrid/>
        <w:spacing w:before="0" w:after="0" w:line="50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3、支付节点：</w:t>
      </w:r>
    </w:p>
    <w:p w14:paraId="0AA75805">
      <w:pPr>
        <w:pStyle w:val="16"/>
        <w:keepNext w:val="0"/>
        <w:keepLines w:val="0"/>
        <w:pageBreakBefore w:val="0"/>
        <w:widowControl/>
        <w:numPr>
          <w:ilvl w:val="0"/>
          <w:numId w:val="0"/>
        </w:numPr>
        <w:shd w:val="clear"/>
        <w:kinsoku/>
        <w:wordWrap/>
        <w:overflowPunct/>
        <w:topLinePunct w:val="0"/>
        <w:autoSpaceDE/>
        <w:autoSpaceDN/>
        <w:bidi w:val="0"/>
        <w:adjustRightInd/>
        <w:snapToGrid/>
        <w:spacing w:before="0" w:after="0" w:line="5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highlight w:val="none"/>
          <w:lang w:val="en-US" w:eastAsia="zh-CN"/>
        </w:rPr>
        <w:t>服务费用属于招标人（即征集人或其指定部门）支付的，按项目进行支付；</w:t>
      </w:r>
    </w:p>
    <w:p w14:paraId="40479CE6">
      <w:pPr>
        <w:pStyle w:val="16"/>
        <w:keepNext w:val="0"/>
        <w:keepLines w:val="0"/>
        <w:pageBreakBefore w:val="0"/>
        <w:widowControl/>
        <w:numPr>
          <w:ilvl w:val="0"/>
          <w:numId w:val="0"/>
        </w:numPr>
        <w:shd w:val="clear"/>
        <w:kinsoku/>
        <w:wordWrap/>
        <w:overflowPunct/>
        <w:topLinePunct w:val="0"/>
        <w:autoSpaceDE/>
        <w:autoSpaceDN/>
        <w:bidi w:val="0"/>
        <w:adjustRightInd/>
        <w:snapToGrid/>
        <w:spacing w:before="0" w:after="0" w:line="50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（2）</w:t>
      </w:r>
      <w:r>
        <w:rPr>
          <w:rFonts w:hint="eastAsia" w:ascii="仿宋" w:hAnsi="仿宋" w:eastAsia="仿宋" w:cs="仿宋"/>
          <w:color w:val="auto"/>
          <w:sz w:val="24"/>
          <w:szCs w:val="24"/>
          <w:highlight w:val="none"/>
          <w:lang w:val="en-US" w:eastAsia="zh-CN"/>
        </w:rPr>
        <w:t>服务费用属于成交人支付的，在领取成交通知书时进行支付。</w:t>
      </w:r>
    </w:p>
    <w:p w14:paraId="1AEB6F02">
      <w:pPr>
        <w:rPr>
          <w:rFonts w:hint="eastAsia" w:ascii="仿宋" w:hAnsi="仿宋" w:eastAsia="仿宋" w:cs="仿宋"/>
          <w:b/>
          <w:bCs/>
          <w:snapToGrid/>
          <w:color w:val="auto"/>
          <w:sz w:val="36"/>
          <w:szCs w:val="36"/>
          <w:highlight w:val="none"/>
          <w:lang w:val="en-US" w:eastAsia="zh-CN"/>
        </w:rPr>
      </w:pPr>
      <w:bookmarkStart w:id="37" w:name="_Toc29231"/>
      <w:r>
        <w:rPr>
          <w:rFonts w:hint="eastAsia" w:ascii="仿宋" w:hAnsi="仿宋" w:eastAsia="仿宋" w:cs="仿宋"/>
          <w:b/>
          <w:bCs/>
          <w:snapToGrid/>
          <w:color w:val="auto"/>
          <w:sz w:val="36"/>
          <w:szCs w:val="36"/>
          <w:highlight w:val="none"/>
          <w:lang w:val="en-US" w:eastAsia="zh-CN"/>
        </w:rPr>
        <w:br w:type="page"/>
      </w:r>
    </w:p>
    <w:p w14:paraId="624F2B6C">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r>
        <w:rPr>
          <w:rFonts w:hint="eastAsia" w:ascii="仿宋" w:hAnsi="仿宋" w:eastAsia="仿宋" w:cs="仿宋"/>
          <w:b/>
          <w:bCs/>
          <w:snapToGrid/>
          <w:color w:val="auto"/>
          <w:sz w:val="36"/>
          <w:szCs w:val="36"/>
          <w:highlight w:val="none"/>
          <w:lang w:val="en-US" w:eastAsia="zh-CN"/>
        </w:rPr>
        <w:t>第七章   用户评价机制</w:t>
      </w:r>
      <w:bookmarkEnd w:id="37"/>
    </w:p>
    <w:p w14:paraId="6BBCEF28">
      <w:pPr>
        <w:pStyle w:val="3"/>
        <w:shd w:val="clear"/>
        <w:spacing w:line="302" w:lineRule="auto"/>
        <w:rPr>
          <w:rFonts w:hint="eastAsia" w:ascii="仿宋" w:hAnsi="仿宋" w:eastAsia="仿宋" w:cs="仿宋"/>
          <w:color w:val="auto"/>
          <w:highlight w:val="none"/>
        </w:rPr>
      </w:pPr>
    </w:p>
    <w:p w14:paraId="0785CC1B">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color w:val="auto"/>
          <w:spacing w:val="-4"/>
          <w:sz w:val="24"/>
          <w:szCs w:val="24"/>
          <w:highlight w:val="none"/>
        </w:rPr>
      </w:pPr>
      <w:r>
        <w:rPr>
          <w:rFonts w:hint="eastAsia" w:ascii="仿宋" w:hAnsi="仿宋" w:eastAsia="仿宋" w:cs="仿宋"/>
          <w:color w:val="auto"/>
          <w:spacing w:val="-1"/>
          <w:sz w:val="24"/>
          <w:szCs w:val="24"/>
          <w:highlight w:val="none"/>
        </w:rPr>
        <w:t>征集人</w:t>
      </w:r>
      <w:r>
        <w:rPr>
          <w:rFonts w:hint="eastAsia" w:ascii="仿宋" w:hAnsi="仿宋" w:eastAsia="仿宋" w:cs="仿宋"/>
          <w:color w:val="auto"/>
          <w:spacing w:val="-1"/>
          <w:sz w:val="24"/>
          <w:szCs w:val="24"/>
          <w:highlight w:val="none"/>
          <w:lang w:val="en-US" w:eastAsia="zh-CN"/>
        </w:rPr>
        <w:t>将</w:t>
      </w:r>
      <w:r>
        <w:rPr>
          <w:rFonts w:hint="eastAsia" w:ascii="仿宋" w:hAnsi="仿宋" w:eastAsia="仿宋" w:cs="仿宋"/>
          <w:color w:val="auto"/>
          <w:spacing w:val="-1"/>
          <w:sz w:val="24"/>
          <w:szCs w:val="24"/>
          <w:highlight w:val="none"/>
        </w:rPr>
        <w:t>对入围供应商履行框架协议情况</w:t>
      </w:r>
      <w:r>
        <w:rPr>
          <w:rFonts w:hint="eastAsia" w:ascii="仿宋" w:hAnsi="仿宋" w:eastAsia="仿宋" w:cs="仿宋"/>
          <w:color w:val="auto"/>
          <w:spacing w:val="-2"/>
          <w:sz w:val="24"/>
          <w:szCs w:val="24"/>
          <w:highlight w:val="none"/>
        </w:rPr>
        <w:t>的</w:t>
      </w:r>
      <w:r>
        <w:rPr>
          <w:rFonts w:hint="eastAsia" w:ascii="仿宋" w:hAnsi="仿宋" w:eastAsia="仿宋" w:cs="仿宋"/>
          <w:color w:val="auto"/>
          <w:spacing w:val="-2"/>
          <w:sz w:val="24"/>
          <w:szCs w:val="24"/>
          <w:highlight w:val="none"/>
          <w:lang w:val="en-US" w:eastAsia="zh-CN"/>
        </w:rPr>
        <w:t>进行</w:t>
      </w:r>
      <w:r>
        <w:rPr>
          <w:rFonts w:hint="eastAsia" w:ascii="仿宋" w:hAnsi="仿宋" w:eastAsia="仿宋" w:cs="仿宋"/>
          <w:color w:val="auto"/>
          <w:spacing w:val="-2"/>
          <w:sz w:val="24"/>
          <w:szCs w:val="24"/>
          <w:highlight w:val="none"/>
        </w:rPr>
        <w:t>评价，并将评价情况向</w:t>
      </w:r>
      <w:r>
        <w:rPr>
          <w:rFonts w:hint="eastAsia" w:ascii="仿宋" w:hAnsi="仿宋" w:eastAsia="仿宋" w:cs="仿宋"/>
          <w:color w:val="auto"/>
          <w:spacing w:val="-2"/>
          <w:sz w:val="24"/>
          <w:szCs w:val="24"/>
          <w:highlight w:val="none"/>
          <w:lang w:val="en-US" w:eastAsia="zh-CN"/>
        </w:rPr>
        <w:t>各入围单位进行</w:t>
      </w:r>
      <w:r>
        <w:rPr>
          <w:rFonts w:hint="eastAsia" w:ascii="仿宋" w:hAnsi="仿宋" w:eastAsia="仿宋" w:cs="仿宋"/>
          <w:color w:val="auto"/>
          <w:spacing w:val="-3"/>
          <w:sz w:val="24"/>
          <w:szCs w:val="24"/>
          <w:highlight w:val="none"/>
        </w:rPr>
        <w:t>公开，可作为第二</w:t>
      </w:r>
      <w:r>
        <w:rPr>
          <w:rFonts w:hint="eastAsia" w:ascii="仿宋" w:hAnsi="仿宋" w:eastAsia="仿宋" w:cs="仿宋"/>
          <w:color w:val="auto"/>
          <w:spacing w:val="-4"/>
          <w:sz w:val="24"/>
          <w:szCs w:val="24"/>
          <w:highlight w:val="none"/>
        </w:rPr>
        <w:t>阶段直接选定成交供应商的参考。</w:t>
      </w:r>
      <w:bookmarkStart w:id="38" w:name="_Toc17509"/>
    </w:p>
    <w:p w14:paraId="03CD7A1C">
      <w:pP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br w:type="page"/>
      </w:r>
    </w:p>
    <w:p w14:paraId="5DDB7237">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r>
        <w:rPr>
          <w:rFonts w:hint="eastAsia" w:ascii="仿宋" w:hAnsi="仿宋" w:eastAsia="仿宋" w:cs="仿宋"/>
          <w:b/>
          <w:bCs/>
          <w:snapToGrid/>
          <w:color w:val="auto"/>
          <w:sz w:val="36"/>
          <w:szCs w:val="36"/>
          <w:highlight w:val="none"/>
          <w:lang w:val="en-US" w:eastAsia="zh-CN"/>
        </w:rPr>
        <w:t>第八章   框架协议</w:t>
      </w:r>
      <w:bookmarkEnd w:id="38"/>
    </w:p>
    <w:p w14:paraId="1FC244F2">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highlight w:val="none"/>
          <w:lang w:val="en-US" w:eastAsia="zh-CN"/>
        </w:rPr>
      </w:pPr>
    </w:p>
    <w:p w14:paraId="3A1E88F5">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highlight w:val="none"/>
          <w:lang w:val="en-US" w:eastAsia="zh-CN"/>
        </w:rPr>
      </w:pPr>
    </w:p>
    <w:p w14:paraId="560B6D7D">
      <w:pPr>
        <w:pStyle w:val="16"/>
        <w:pageBreakBefore w:val="0"/>
        <w:widowControl/>
        <w:numPr>
          <w:ilvl w:val="0"/>
          <w:numId w:val="0"/>
        </w:numPr>
        <w:shd w:val="clea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六安城市建设投资有限公司征集第三方咨询服务机构项目</w:t>
      </w:r>
    </w:p>
    <w:p w14:paraId="63C6B122">
      <w:pPr>
        <w:pStyle w:val="16"/>
        <w:pageBreakBefore w:val="0"/>
        <w:widowControl/>
        <w:numPr>
          <w:ilvl w:val="0"/>
          <w:numId w:val="0"/>
        </w:numPr>
        <w:shd w:val="clear"/>
        <w:kinsoku/>
        <w:wordWrap/>
        <w:overflowPunct/>
        <w:topLinePunct w:val="0"/>
        <w:autoSpaceDE/>
        <w:autoSpaceDN/>
        <w:bidi w:val="0"/>
        <w:adjustRightInd/>
        <w:snapToGrid/>
        <w:spacing w:line="240" w:lineRule="auto"/>
        <w:ind w:firstLine="1044" w:firstLineChars="200"/>
        <w:jc w:val="center"/>
        <w:textAlignment w:val="auto"/>
        <w:rPr>
          <w:rFonts w:hint="eastAsia" w:ascii="仿宋" w:hAnsi="仿宋" w:eastAsia="仿宋" w:cs="仿宋"/>
          <w:b/>
          <w:bCs/>
          <w:color w:val="auto"/>
          <w:sz w:val="52"/>
          <w:szCs w:val="52"/>
          <w:highlight w:val="none"/>
          <w:lang w:val="en-US" w:eastAsia="zh-CN"/>
        </w:rPr>
      </w:pPr>
    </w:p>
    <w:p w14:paraId="1F0E235A">
      <w:pPr>
        <w:pStyle w:val="16"/>
        <w:pageBreakBefore w:val="0"/>
        <w:widowControl/>
        <w:numPr>
          <w:ilvl w:val="0"/>
          <w:numId w:val="0"/>
        </w:numPr>
        <w:shd w:val="clear"/>
        <w:kinsoku/>
        <w:wordWrap/>
        <w:overflowPunct/>
        <w:topLinePunct w:val="0"/>
        <w:autoSpaceDE/>
        <w:autoSpaceDN/>
        <w:bidi w:val="0"/>
        <w:adjustRightInd/>
        <w:snapToGrid/>
        <w:spacing w:line="240" w:lineRule="auto"/>
        <w:ind w:firstLine="1044" w:firstLineChars="200"/>
        <w:jc w:val="center"/>
        <w:textAlignment w:val="auto"/>
        <w:rPr>
          <w:rFonts w:hint="eastAsia" w:ascii="仿宋" w:hAnsi="仿宋" w:eastAsia="仿宋" w:cs="仿宋"/>
          <w:b/>
          <w:bCs/>
          <w:color w:val="auto"/>
          <w:sz w:val="52"/>
          <w:szCs w:val="52"/>
          <w:highlight w:val="none"/>
          <w:lang w:val="en-US" w:eastAsia="zh-CN"/>
        </w:rPr>
      </w:pPr>
    </w:p>
    <w:p w14:paraId="117FFA2A">
      <w:pPr>
        <w:pStyle w:val="16"/>
        <w:pageBreakBefore w:val="0"/>
        <w:widowControl/>
        <w:numPr>
          <w:ilvl w:val="0"/>
          <w:numId w:val="0"/>
        </w:numPr>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框架协议</w:t>
      </w:r>
    </w:p>
    <w:p w14:paraId="599479CB">
      <w:pPr>
        <w:pStyle w:val="3"/>
        <w:shd w:val="clear"/>
        <w:spacing w:line="274" w:lineRule="auto"/>
        <w:rPr>
          <w:rFonts w:hint="eastAsia" w:ascii="仿宋" w:hAnsi="仿宋" w:eastAsia="仿宋" w:cs="仿宋"/>
          <w:color w:val="auto"/>
          <w:highlight w:val="none"/>
        </w:rPr>
      </w:pPr>
    </w:p>
    <w:p w14:paraId="62479B6E">
      <w:pPr>
        <w:pStyle w:val="3"/>
        <w:shd w:val="clear"/>
        <w:spacing w:line="274" w:lineRule="auto"/>
        <w:rPr>
          <w:rFonts w:hint="eastAsia" w:ascii="仿宋" w:hAnsi="仿宋" w:eastAsia="仿宋" w:cs="仿宋"/>
          <w:color w:val="auto"/>
          <w:highlight w:val="none"/>
        </w:rPr>
      </w:pPr>
    </w:p>
    <w:p w14:paraId="2CAA4FC0">
      <w:pPr>
        <w:pStyle w:val="3"/>
        <w:shd w:val="clear"/>
        <w:spacing w:line="274" w:lineRule="auto"/>
        <w:rPr>
          <w:rFonts w:hint="eastAsia" w:ascii="仿宋" w:hAnsi="仿宋" w:eastAsia="仿宋" w:cs="仿宋"/>
          <w:color w:val="auto"/>
          <w:highlight w:val="none"/>
        </w:rPr>
      </w:pPr>
    </w:p>
    <w:p w14:paraId="4FD9DEEF">
      <w:pPr>
        <w:pStyle w:val="3"/>
        <w:shd w:val="clear"/>
        <w:spacing w:line="274" w:lineRule="auto"/>
        <w:rPr>
          <w:rFonts w:hint="eastAsia" w:ascii="仿宋" w:hAnsi="仿宋" w:eastAsia="仿宋" w:cs="仿宋"/>
          <w:color w:val="auto"/>
          <w:highlight w:val="none"/>
        </w:rPr>
      </w:pPr>
    </w:p>
    <w:p w14:paraId="12DEA51B">
      <w:pPr>
        <w:pStyle w:val="3"/>
        <w:shd w:val="clear"/>
        <w:spacing w:line="274" w:lineRule="auto"/>
        <w:rPr>
          <w:rFonts w:hint="eastAsia" w:ascii="仿宋" w:hAnsi="仿宋" w:eastAsia="仿宋" w:cs="仿宋"/>
          <w:color w:val="auto"/>
          <w:highlight w:val="none"/>
        </w:rPr>
      </w:pPr>
    </w:p>
    <w:p w14:paraId="0BCD85E0">
      <w:pPr>
        <w:pStyle w:val="3"/>
        <w:shd w:val="clear"/>
        <w:spacing w:line="274" w:lineRule="auto"/>
        <w:rPr>
          <w:rFonts w:hint="eastAsia" w:ascii="仿宋" w:hAnsi="仿宋" w:eastAsia="仿宋" w:cs="仿宋"/>
          <w:color w:val="auto"/>
          <w:highlight w:val="none"/>
        </w:rPr>
      </w:pPr>
    </w:p>
    <w:p w14:paraId="3264548A">
      <w:pPr>
        <w:pStyle w:val="3"/>
        <w:shd w:val="clear"/>
        <w:spacing w:line="274" w:lineRule="auto"/>
        <w:rPr>
          <w:rFonts w:hint="eastAsia" w:ascii="仿宋" w:hAnsi="仿宋" w:eastAsia="仿宋" w:cs="仿宋"/>
          <w:color w:val="auto"/>
          <w:highlight w:val="none"/>
        </w:rPr>
      </w:pPr>
    </w:p>
    <w:p w14:paraId="74991179">
      <w:pPr>
        <w:pStyle w:val="3"/>
        <w:shd w:val="clear"/>
        <w:spacing w:line="274" w:lineRule="auto"/>
        <w:rPr>
          <w:rFonts w:hint="eastAsia" w:ascii="仿宋" w:hAnsi="仿宋" w:eastAsia="仿宋" w:cs="仿宋"/>
          <w:color w:val="auto"/>
          <w:highlight w:val="none"/>
        </w:rPr>
      </w:pPr>
    </w:p>
    <w:p w14:paraId="5EB4C6C1">
      <w:pPr>
        <w:pStyle w:val="3"/>
        <w:shd w:val="clear"/>
        <w:spacing w:line="274" w:lineRule="auto"/>
        <w:rPr>
          <w:rFonts w:hint="eastAsia" w:ascii="仿宋" w:hAnsi="仿宋" w:eastAsia="仿宋" w:cs="仿宋"/>
          <w:color w:val="auto"/>
          <w:highlight w:val="none"/>
        </w:rPr>
      </w:pPr>
    </w:p>
    <w:p w14:paraId="79E8C942">
      <w:pPr>
        <w:pStyle w:val="3"/>
        <w:shd w:val="clear"/>
        <w:spacing w:line="274" w:lineRule="auto"/>
        <w:rPr>
          <w:rFonts w:hint="eastAsia" w:ascii="仿宋" w:hAnsi="仿宋" w:eastAsia="仿宋" w:cs="仿宋"/>
          <w:color w:val="auto"/>
          <w:highlight w:val="none"/>
        </w:rPr>
      </w:pPr>
    </w:p>
    <w:p w14:paraId="24BAA45C">
      <w:pPr>
        <w:pStyle w:val="3"/>
        <w:shd w:val="clear"/>
        <w:spacing w:line="274" w:lineRule="auto"/>
        <w:rPr>
          <w:rFonts w:hint="eastAsia" w:ascii="仿宋" w:hAnsi="仿宋" w:eastAsia="仿宋" w:cs="仿宋"/>
          <w:color w:val="auto"/>
          <w:highlight w:val="none"/>
        </w:rPr>
      </w:pPr>
    </w:p>
    <w:p w14:paraId="0033B891">
      <w:pPr>
        <w:pStyle w:val="3"/>
        <w:shd w:val="clear"/>
        <w:spacing w:line="274" w:lineRule="auto"/>
        <w:rPr>
          <w:rFonts w:hint="eastAsia" w:ascii="仿宋" w:hAnsi="仿宋" w:eastAsia="仿宋" w:cs="仿宋"/>
          <w:color w:val="auto"/>
          <w:highlight w:val="none"/>
        </w:rPr>
      </w:pPr>
    </w:p>
    <w:p w14:paraId="2A1B6273">
      <w:pPr>
        <w:shd w:val="clear"/>
        <w:tabs>
          <w:tab w:val="left" w:pos="5995"/>
        </w:tabs>
        <w:spacing w:before="78" w:line="371" w:lineRule="auto"/>
        <w:ind w:left="31" w:right="2338" w:firstLine="7"/>
        <w:jc w:val="both"/>
        <w:rPr>
          <w:rFonts w:hint="eastAsia" w:ascii="仿宋" w:hAnsi="仿宋" w:eastAsia="仿宋" w:cs="仿宋"/>
          <w:b/>
          <w:bCs/>
          <w:color w:val="auto"/>
          <w:sz w:val="28"/>
          <w:szCs w:val="28"/>
          <w:highlight w:val="none"/>
          <w:u w:val="single" w:color="auto"/>
        </w:rPr>
      </w:pPr>
      <w:r>
        <w:rPr>
          <w:rFonts w:hint="eastAsia" w:ascii="仿宋" w:hAnsi="仿宋" w:eastAsia="仿宋" w:cs="仿宋"/>
          <w:b/>
          <w:bCs/>
          <w:color w:val="auto"/>
          <w:spacing w:val="-9"/>
          <w:sz w:val="28"/>
          <w:szCs w:val="28"/>
          <w:highlight w:val="none"/>
        </w:rPr>
        <w:t>项目名称：</w:t>
      </w:r>
      <w:r>
        <w:rPr>
          <w:rFonts w:hint="eastAsia" w:ascii="仿宋" w:hAnsi="仿宋" w:eastAsia="仿宋" w:cs="仿宋"/>
          <w:b/>
          <w:bCs/>
          <w:color w:val="auto"/>
          <w:sz w:val="28"/>
          <w:szCs w:val="28"/>
          <w:highlight w:val="none"/>
          <w:u w:val="single" w:color="auto"/>
        </w:rPr>
        <w:tab/>
      </w:r>
    </w:p>
    <w:p w14:paraId="44D65311">
      <w:pPr>
        <w:shd w:val="clear"/>
        <w:tabs>
          <w:tab w:val="left" w:pos="5995"/>
        </w:tabs>
        <w:spacing w:before="78" w:line="371" w:lineRule="auto"/>
        <w:ind w:left="31" w:right="2338" w:firstLine="7"/>
        <w:jc w:val="both"/>
        <w:rPr>
          <w:rFonts w:hint="eastAsia" w:ascii="仿宋" w:hAnsi="仿宋" w:eastAsia="仿宋" w:cs="仿宋"/>
          <w:b/>
          <w:bCs/>
          <w:color w:val="auto"/>
          <w:sz w:val="28"/>
          <w:szCs w:val="28"/>
          <w:highlight w:val="none"/>
          <w:u w:val="single" w:color="auto"/>
        </w:rPr>
      </w:pPr>
      <w:r>
        <w:rPr>
          <w:rFonts w:hint="eastAsia" w:ascii="仿宋" w:hAnsi="仿宋" w:eastAsia="仿宋" w:cs="仿宋"/>
          <w:b/>
          <w:bCs/>
          <w:color w:val="auto"/>
          <w:spacing w:val="-8"/>
          <w:sz w:val="28"/>
          <w:szCs w:val="28"/>
          <w:highlight w:val="none"/>
        </w:rPr>
        <w:t>项目编号：</w:t>
      </w:r>
      <w:r>
        <w:rPr>
          <w:rFonts w:hint="eastAsia" w:ascii="仿宋" w:hAnsi="仿宋" w:eastAsia="仿宋" w:cs="仿宋"/>
          <w:b/>
          <w:bCs/>
          <w:color w:val="auto"/>
          <w:sz w:val="28"/>
          <w:szCs w:val="28"/>
          <w:highlight w:val="none"/>
          <w:u w:val="single" w:color="auto"/>
        </w:rPr>
        <w:tab/>
      </w:r>
    </w:p>
    <w:p w14:paraId="303A56BB">
      <w:pPr>
        <w:shd w:val="clear"/>
        <w:tabs>
          <w:tab w:val="left" w:pos="5995"/>
        </w:tabs>
        <w:spacing w:before="78" w:line="371" w:lineRule="auto"/>
        <w:ind w:left="31" w:right="2338" w:firstLine="7"/>
        <w:jc w:val="both"/>
        <w:rPr>
          <w:rFonts w:hint="eastAsia" w:ascii="仿宋" w:hAnsi="仿宋" w:eastAsia="仿宋" w:cs="仿宋"/>
          <w:b/>
          <w:bCs/>
          <w:color w:val="auto"/>
          <w:spacing w:val="3"/>
          <w:sz w:val="28"/>
          <w:szCs w:val="28"/>
          <w:highlight w:val="none"/>
        </w:rPr>
      </w:pPr>
      <w:r>
        <w:rPr>
          <w:rFonts w:hint="eastAsia" w:ascii="仿宋" w:hAnsi="仿宋" w:eastAsia="仿宋" w:cs="仿宋"/>
          <w:b/>
          <w:bCs/>
          <w:color w:val="auto"/>
          <w:spacing w:val="-8"/>
          <w:sz w:val="28"/>
          <w:szCs w:val="28"/>
          <w:highlight w:val="none"/>
        </w:rPr>
        <w:t>征集人（甲方</w:t>
      </w:r>
      <w:r>
        <w:rPr>
          <w:rFonts w:hint="eastAsia" w:ascii="仿宋" w:hAnsi="仿宋" w:eastAsia="仿宋" w:cs="仿宋"/>
          <w:b/>
          <w:bCs/>
          <w:color w:val="auto"/>
          <w:spacing w:val="3"/>
          <w:sz w:val="28"/>
          <w:szCs w:val="28"/>
          <w:highlight w:val="none"/>
        </w:rPr>
        <w:t>）：</w:t>
      </w:r>
      <w:r>
        <w:rPr>
          <w:rFonts w:hint="eastAsia" w:ascii="仿宋" w:hAnsi="仿宋" w:eastAsia="仿宋" w:cs="仿宋"/>
          <w:b/>
          <w:bCs/>
          <w:color w:val="auto"/>
          <w:sz w:val="28"/>
          <w:szCs w:val="28"/>
          <w:highlight w:val="none"/>
          <w:u w:val="single" w:color="auto"/>
        </w:rPr>
        <w:tab/>
      </w:r>
    </w:p>
    <w:p w14:paraId="7E52A5BE">
      <w:pPr>
        <w:shd w:val="clear"/>
        <w:tabs>
          <w:tab w:val="left" w:pos="5995"/>
        </w:tabs>
        <w:spacing w:before="78" w:line="371" w:lineRule="auto"/>
        <w:ind w:left="31" w:right="2338" w:firstLine="7"/>
        <w:jc w:val="both"/>
        <w:rPr>
          <w:rFonts w:hint="eastAsia" w:ascii="仿宋" w:hAnsi="仿宋" w:eastAsia="仿宋" w:cs="仿宋"/>
          <w:color w:val="auto"/>
          <w:highlight w:val="none"/>
        </w:rPr>
      </w:pPr>
      <w:r>
        <w:rPr>
          <w:rFonts w:hint="eastAsia" w:ascii="仿宋" w:hAnsi="仿宋" w:eastAsia="仿宋" w:cs="仿宋"/>
          <w:b/>
          <w:bCs/>
          <w:color w:val="auto"/>
          <w:spacing w:val="-5"/>
          <w:sz w:val="28"/>
          <w:szCs w:val="28"/>
          <w:highlight w:val="none"/>
        </w:rPr>
        <w:t>入围供应商（乙方</w:t>
      </w:r>
      <w:r>
        <w:rPr>
          <w:rFonts w:hint="eastAsia" w:ascii="仿宋" w:hAnsi="仿宋" w:eastAsia="仿宋" w:cs="仿宋"/>
          <w:b/>
          <w:bCs/>
          <w:color w:val="auto"/>
          <w:spacing w:val="5"/>
          <w:sz w:val="28"/>
          <w:szCs w:val="28"/>
          <w:highlight w:val="none"/>
        </w:rPr>
        <w:t>）：</w:t>
      </w:r>
      <w:r>
        <w:rPr>
          <w:rFonts w:hint="eastAsia" w:ascii="仿宋" w:hAnsi="仿宋" w:eastAsia="仿宋" w:cs="仿宋"/>
          <w:b/>
          <w:bCs/>
          <w:color w:val="auto"/>
          <w:sz w:val="28"/>
          <w:szCs w:val="28"/>
          <w:highlight w:val="none"/>
          <w:u w:val="single" w:color="auto"/>
        </w:rPr>
        <w:tab/>
      </w:r>
    </w:p>
    <w:p w14:paraId="27C555EF">
      <w:pPr>
        <w:pStyle w:val="3"/>
        <w:shd w:val="clear"/>
        <w:spacing w:line="278" w:lineRule="auto"/>
        <w:rPr>
          <w:rFonts w:hint="eastAsia" w:ascii="仿宋" w:hAnsi="仿宋" w:eastAsia="仿宋" w:cs="仿宋"/>
          <w:color w:val="auto"/>
          <w:highlight w:val="none"/>
        </w:rPr>
      </w:pPr>
    </w:p>
    <w:p w14:paraId="6E318ABA">
      <w:pPr>
        <w:shd w:val="clear"/>
        <w:spacing w:before="78" w:line="221" w:lineRule="auto"/>
        <w:ind w:left="125"/>
        <w:rPr>
          <w:rFonts w:hint="eastAsia" w:ascii="仿宋" w:hAnsi="仿宋" w:eastAsia="仿宋" w:cs="仿宋"/>
          <w:color w:val="auto"/>
          <w:spacing w:val="-10"/>
          <w:sz w:val="24"/>
          <w:szCs w:val="24"/>
          <w:highlight w:val="none"/>
        </w:rPr>
      </w:pPr>
    </w:p>
    <w:p w14:paraId="5CB5609F">
      <w:pPr>
        <w:shd w:val="clear"/>
        <w:spacing w:before="78" w:line="221" w:lineRule="auto"/>
        <w:ind w:left="125"/>
        <w:rPr>
          <w:rFonts w:hint="eastAsia" w:ascii="仿宋" w:hAnsi="仿宋" w:eastAsia="仿宋" w:cs="仿宋"/>
          <w:color w:val="auto"/>
          <w:spacing w:val="-10"/>
          <w:sz w:val="24"/>
          <w:szCs w:val="24"/>
          <w:highlight w:val="none"/>
        </w:rPr>
      </w:pPr>
    </w:p>
    <w:p w14:paraId="6B5EDCDC">
      <w:pPr>
        <w:shd w:val="clear"/>
        <w:spacing w:before="78" w:line="221" w:lineRule="auto"/>
        <w:ind w:left="125"/>
        <w:rPr>
          <w:rFonts w:hint="eastAsia" w:ascii="仿宋" w:hAnsi="仿宋" w:eastAsia="仿宋" w:cs="仿宋"/>
          <w:color w:val="auto"/>
          <w:spacing w:val="-10"/>
          <w:sz w:val="24"/>
          <w:szCs w:val="24"/>
          <w:highlight w:val="none"/>
        </w:rPr>
      </w:pPr>
    </w:p>
    <w:p w14:paraId="5F789E6A">
      <w:pPr>
        <w:shd w:val="clear"/>
        <w:spacing w:before="78" w:line="221" w:lineRule="auto"/>
        <w:ind w:left="125"/>
        <w:rPr>
          <w:rFonts w:hint="eastAsia" w:ascii="仿宋" w:hAnsi="仿宋" w:eastAsia="仿宋" w:cs="仿宋"/>
          <w:color w:val="auto"/>
          <w:spacing w:val="-10"/>
          <w:sz w:val="24"/>
          <w:szCs w:val="24"/>
          <w:highlight w:val="none"/>
        </w:rPr>
      </w:pPr>
    </w:p>
    <w:p w14:paraId="3333F18B">
      <w:pPr>
        <w:shd w:val="clear"/>
        <w:spacing w:before="78" w:line="221" w:lineRule="auto"/>
        <w:ind w:left="125"/>
        <w:rPr>
          <w:rFonts w:hint="eastAsia" w:ascii="仿宋" w:hAnsi="仿宋" w:eastAsia="仿宋" w:cs="仿宋"/>
          <w:color w:val="auto"/>
          <w:spacing w:val="-10"/>
          <w:sz w:val="24"/>
          <w:szCs w:val="24"/>
          <w:highlight w:val="none"/>
        </w:rPr>
      </w:pPr>
    </w:p>
    <w:p w14:paraId="34D11C95">
      <w:pPr>
        <w:shd w:val="clear"/>
        <w:spacing w:before="78" w:line="221" w:lineRule="auto"/>
        <w:ind w:left="125"/>
        <w:rPr>
          <w:rFonts w:hint="eastAsia" w:ascii="仿宋" w:hAnsi="仿宋" w:eastAsia="仿宋" w:cs="仿宋"/>
          <w:color w:val="auto"/>
          <w:spacing w:val="-10"/>
          <w:sz w:val="24"/>
          <w:szCs w:val="24"/>
          <w:highlight w:val="none"/>
        </w:rPr>
      </w:pPr>
    </w:p>
    <w:p w14:paraId="1DBD5B9F">
      <w:pPr>
        <w:shd w:val="clear"/>
        <w:spacing w:before="78" w:line="221" w:lineRule="auto"/>
        <w:ind w:left="125"/>
        <w:rPr>
          <w:rFonts w:hint="eastAsia" w:ascii="仿宋" w:hAnsi="仿宋" w:eastAsia="仿宋" w:cs="仿宋"/>
          <w:color w:val="auto"/>
          <w:spacing w:val="-10"/>
          <w:sz w:val="24"/>
          <w:szCs w:val="24"/>
          <w:highlight w:val="none"/>
        </w:rPr>
      </w:pPr>
    </w:p>
    <w:p w14:paraId="2B22354C">
      <w:pPr>
        <w:shd w:val="clear"/>
        <w:spacing w:before="78" w:line="221" w:lineRule="auto"/>
        <w:ind w:left="125"/>
        <w:rPr>
          <w:rFonts w:hint="eastAsia" w:ascii="仿宋" w:hAnsi="仿宋" w:eastAsia="仿宋" w:cs="仿宋"/>
          <w:color w:val="auto"/>
          <w:spacing w:val="-10"/>
          <w:sz w:val="24"/>
          <w:szCs w:val="24"/>
          <w:highlight w:val="none"/>
        </w:rPr>
      </w:pPr>
    </w:p>
    <w:p w14:paraId="58661C1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甲方：                         乙方：</w:t>
      </w:r>
    </w:p>
    <w:p w14:paraId="151635B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住所地：                      住所地：</w:t>
      </w:r>
    </w:p>
    <w:p w14:paraId="73C58B11">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联系人：                      联系人：</w:t>
      </w:r>
    </w:p>
    <w:p w14:paraId="6D86FF99">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电话：                          电话：</w:t>
      </w:r>
    </w:p>
    <w:p w14:paraId="0FB81445">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甲乙双方根据《中华人民共和国民法典》等相关法律法规，</w:t>
      </w:r>
      <w:r>
        <w:rPr>
          <w:rFonts w:hint="eastAsia" w:ascii="仿宋" w:hAnsi="仿宋" w:eastAsia="仿宋" w:cs="仿宋"/>
          <w:i w:val="0"/>
          <w:iCs w:val="0"/>
          <w:caps w:val="0"/>
          <w:snapToGrid/>
          <w:color w:val="auto"/>
          <w:spacing w:val="0"/>
          <w:kern w:val="0"/>
          <w:sz w:val="24"/>
          <w:szCs w:val="24"/>
          <w:highlight w:val="none"/>
          <w:u w:val="single"/>
          <w:shd w:val="clear" w:color="auto" w:fill="FFFFFF"/>
          <w:lang w:val="en-US" w:eastAsia="zh-CN" w:bidi="ar"/>
        </w:rPr>
        <w:t xml:space="preserve">      </w:t>
      </w: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项目征集文件及其相关文件的规定，经平等协商，自愿就本项目相关事项达成一致，并签署订立本框架协议，内容如下：</w:t>
      </w:r>
    </w:p>
    <w:p w14:paraId="1F365A03">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一、第一阶段入围产品</w:t>
      </w:r>
    </w:p>
    <w:p w14:paraId="357EC522">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1、本项目采购需求详见本项目征集文件。</w:t>
      </w:r>
    </w:p>
    <w:p w14:paraId="6ED1308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2、入围服务内容、服务标准：（根据项目情况编辑）。</w:t>
      </w:r>
    </w:p>
    <w:p w14:paraId="3BE8A6EB">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3、协议价格：（根据项目情况编辑）。</w:t>
      </w:r>
    </w:p>
    <w:p w14:paraId="11717570">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二、入围产品升级换代规则</w:t>
      </w:r>
    </w:p>
    <w:p w14:paraId="43AA6890">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本项目不适用。</w:t>
      </w:r>
    </w:p>
    <w:p w14:paraId="5E66F78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三、确定第二阶段成交供应商的方式</w:t>
      </w:r>
    </w:p>
    <w:p w14:paraId="449E36B8">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default"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第二阶段成交供应商由征集人从第一阶段入围供应商中直接选定、竞价等方式确定，并依据实际情况与需求公司（单位）签订服务合同。</w:t>
      </w:r>
    </w:p>
    <w:p w14:paraId="65AFA1F5">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四、适用框架协议的征集人范围，以及履行合同的地域范围</w:t>
      </w:r>
    </w:p>
    <w:p w14:paraId="58ADD262">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1、甲方作为征集人,已经通过与入围供应商依法签订框架协议,确定了服务的事项及相关的权利义务。</w:t>
      </w:r>
    </w:p>
    <w:p w14:paraId="12CC9F85">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2、本次框架协议履约合同的地域范围为：六安市</w:t>
      </w:r>
    </w:p>
    <w:p w14:paraId="7AF6663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color w:val="auto"/>
          <w:highlight w:val="none"/>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五、资金支付方式、时间和条件</w:t>
      </w:r>
    </w:p>
    <w:p w14:paraId="2806F4BD">
      <w:pPr>
        <w:pStyle w:val="3"/>
        <w:shd w:val="clear"/>
        <w:spacing w:line="258" w:lineRule="auto"/>
        <w:rPr>
          <w:rFonts w:hint="eastAsia" w:ascii="仿宋" w:hAnsi="仿宋" w:eastAsia="仿宋" w:cs="仿宋"/>
          <w:color w:val="auto"/>
          <w:highlight w:val="none"/>
        </w:rPr>
      </w:pPr>
    </w:p>
    <w:p w14:paraId="594B690B">
      <w:pPr>
        <w:pStyle w:val="3"/>
        <w:shd w:val="clear"/>
        <w:spacing w:line="258" w:lineRule="auto"/>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u w:val="single"/>
          <w:lang w:val="en-US" w:eastAsia="zh-CN"/>
        </w:rPr>
        <w:t xml:space="preserve">                                                                          。</w:t>
      </w:r>
    </w:p>
    <w:p w14:paraId="3613746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框架协议期限</w:t>
      </w:r>
    </w:p>
    <w:p w14:paraId="128F36CC">
      <w:pPr>
        <w:pStyle w:val="3"/>
        <w:numPr>
          <w:ilvl w:val="0"/>
          <w:numId w:val="0"/>
        </w:numPr>
        <w:shd w:val="clear"/>
        <w:kinsoku w:val="0"/>
        <w:autoSpaceDE w:val="0"/>
        <w:autoSpaceDN w:val="0"/>
        <w:adjustRightInd w:val="0"/>
        <w:snapToGrid w:val="0"/>
        <w:spacing w:line="240" w:lineRule="auto"/>
        <w:jc w:val="left"/>
        <w:textAlignment w:val="baseline"/>
        <w:rPr>
          <w:rFonts w:hint="eastAsia" w:ascii="仿宋" w:hAnsi="仿宋" w:eastAsia="仿宋" w:cs="仿宋"/>
          <w:color w:val="auto"/>
          <w:highlight w:val="none"/>
        </w:rPr>
      </w:pPr>
    </w:p>
    <w:p w14:paraId="64C14FCF">
      <w:pPr>
        <w:pStyle w:val="3"/>
        <w:numPr>
          <w:ilvl w:val="0"/>
          <w:numId w:val="0"/>
        </w:numPr>
        <w:shd w:val="clear"/>
        <w:kinsoku w:val="0"/>
        <w:autoSpaceDE w:val="0"/>
        <w:autoSpaceDN w:val="0"/>
        <w:adjustRightInd w:val="0"/>
        <w:snapToGrid w:val="0"/>
        <w:spacing w:line="240" w:lineRule="auto"/>
        <w:jc w:val="left"/>
        <w:textAlignment w:val="baseline"/>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u w:val="single"/>
          <w:lang w:val="en-US" w:eastAsia="zh-CN"/>
        </w:rPr>
        <w:t xml:space="preserve">                                                                          。</w:t>
      </w:r>
    </w:p>
    <w:p w14:paraId="6086CB21">
      <w:pPr>
        <w:pStyle w:val="3"/>
        <w:numPr>
          <w:ilvl w:val="0"/>
          <w:numId w:val="0"/>
        </w:numPr>
        <w:shd w:val="clear"/>
        <w:kinsoku w:val="0"/>
        <w:autoSpaceDE w:val="0"/>
        <w:autoSpaceDN w:val="0"/>
        <w:adjustRightInd w:val="0"/>
        <w:snapToGrid w:val="0"/>
        <w:spacing w:line="240" w:lineRule="auto"/>
        <w:jc w:val="left"/>
        <w:textAlignment w:val="baseline"/>
        <w:rPr>
          <w:rFonts w:hint="eastAsia" w:ascii="仿宋" w:hAnsi="仿宋" w:eastAsia="仿宋" w:cs="仿宋"/>
          <w:color w:val="auto"/>
          <w:highlight w:val="none"/>
          <w:u w:val="single"/>
          <w:lang w:val="en-US" w:eastAsia="zh-CN"/>
        </w:rPr>
      </w:pPr>
    </w:p>
    <w:p w14:paraId="735CC05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七、入围供应商清退</w:t>
      </w:r>
    </w:p>
    <w:p w14:paraId="70F03A43">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甲方有权按本项目征集文件、本框架协议等文件文本对乙方的履约行为进行监督和检查。如发现乙方违反征集文件、本框架协议的有关规定或承诺,甲方有权依照相关规定、征集文件、本框架协议,追究乙方的违约责任,并有权通过有关媒体予以公告或其他形式予以披露,直至停止乙方的入围资格,情节严重的,列入采购不良供应商名单。</w:t>
      </w:r>
    </w:p>
    <w:p w14:paraId="49BE77E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八、协议方的权利和义务</w:t>
      </w:r>
    </w:p>
    <w:p w14:paraId="56B99EB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（一）甲方的权利和义务</w:t>
      </w:r>
    </w:p>
    <w:p w14:paraId="24D173E4">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1、甲方就组织本项目的合法有效性负责,包括甲方在必要情形下将采取符合法律规定及本次征集文件规定的适当可行的必要措施,尽力保证甲方组织本项目的合法有效性。</w:t>
      </w:r>
    </w:p>
    <w:p w14:paraId="2C7F2364">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2、甲方将依照有关法规、规章的规定,按照本项目征集文件、本框架协议所确定的产品和服务范围向乙方采购有关服务。</w:t>
      </w:r>
    </w:p>
    <w:p w14:paraId="4FF541D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3、甲方有权根据实际使用需要及乙方在响应文件中的承诺,确定最终采购的数量、配置和相关服务的内容。</w:t>
      </w:r>
    </w:p>
    <w:p w14:paraId="53DA8A81">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4、甲方有权建立用户反馈和评价机制，对入围供应商履行框架协议情况的反馈与评价，并将用户反馈和评价情况向乙方公开，作为第二阶段直接选定成交供应商及代理商的参考。</w:t>
      </w:r>
    </w:p>
    <w:p w14:paraId="62DAA37E">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（二）乙方的权利和义务</w:t>
      </w:r>
    </w:p>
    <w:p w14:paraId="2AC63FC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1.乙方在甲方公布本项目的入围结果后,取得为甲方提供服务的有效资格。</w:t>
      </w:r>
    </w:p>
    <w:p w14:paraId="3FA5DA40">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2.乙方作为本项目相关服务的提供商,应按照本项目征集文件的要求,由其自身提供服务（根据项目情况编辑）。甲方有权要求乙方作为服务提供商承担法律及征集文件规定、响应文件承诺和本框架协议约定的相关责任(包括但不限于服务质量相关责任、响应文件中应答的服务责任、违约责任、赔偿责任等)。</w:t>
      </w:r>
    </w:p>
    <w:p w14:paraId="38C21C92">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3.乙方提供的服务应皆为符合国家标准和征集文件要求的服务,乙方承诺为甲方提供符合或高于国家标准和征集文件全部要求的服务。</w:t>
      </w:r>
    </w:p>
    <w:p w14:paraId="100CA86F">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4.若乙方在响应时承诺的售后服务标准高于乙方的标准售后服务标准,乙方承诺应按照响应时承诺的售后服务标准提供服务而不另行收费。</w:t>
      </w:r>
    </w:p>
    <w:p w14:paraId="747D9508">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5.乙方保证依据征集文件要求和乙方响应文件的承诺,及时向甲方提供高质量的服务，成交价格不高于响应报价,若实际存在任何该等附加或额外条款,无论签署的情形如何,除非经甲方书面认可,均应当被视为是无效。</w:t>
      </w:r>
    </w:p>
    <w:p w14:paraId="4670E42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6.当甲方投诉乙方提供的服务存在质量问题时,乙方承诺按照本框架协议、征集文件、响应文件和国家有关强制性规范中的相关规定、约定、承诺进行处理。</w:t>
      </w:r>
    </w:p>
    <w:p w14:paraId="72E97B2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7.乙方承诺服从甲方对乙方进行履约管理。承诺并知晓:若乙方不按征集文件约定进行履约，或出现质量和服务等问题时,甲方将通过约谈和公示机制,对严重违反征集文件规定的情形,暂停入围资格。</w:t>
      </w:r>
    </w:p>
    <w:p w14:paraId="639969D5">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8.乙方保证在提供服务时遵从甲方关于本项目的采购程序,按征集文件规定的方式与甲方签订框架协议,妥善保管框架协议,保证不会将合同其中的权利、义务转让,保证不会转包、分包。</w:t>
      </w:r>
    </w:p>
    <w:p w14:paraId="1E766E6B">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9.乙方应当保存与入围服务有关的统一正式对外报价(包括公司内部文件、官网信息发布等各类形式)等信息三年以上，并随时可以提供给甲方审查.</w:t>
      </w:r>
    </w:p>
    <w:p w14:paraId="5645F475">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10.乙方入围的某类型服务如出现无法继续提供的情况时,需向甲方提交书面材料,申请暂停或替换该类型的产品（服务）。</w:t>
      </w:r>
    </w:p>
    <w:p w14:paraId="51893B3E">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11.乙方承诺:甲方已充分提示及要求乙方,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w:t>
      </w:r>
    </w:p>
    <w:p w14:paraId="6F2AA31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2" w:firstLineChars="200"/>
        <w:jc w:val="both"/>
        <w:textAlignment w:val="auto"/>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snapToGrid/>
          <w:color w:val="auto"/>
          <w:spacing w:val="0"/>
          <w:kern w:val="0"/>
          <w:sz w:val="24"/>
          <w:szCs w:val="24"/>
          <w:highlight w:val="none"/>
          <w:shd w:val="clear" w:color="auto" w:fill="FFFFFF"/>
          <w:lang w:val="en-US" w:eastAsia="zh-CN" w:bidi="ar"/>
        </w:rPr>
        <w:t>九、其他规定</w:t>
      </w:r>
    </w:p>
    <w:p w14:paraId="26BABFA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协议双方应通过友好协商解决因解释、执行本协议所发生的和本协议有关的一切争议。如果经协商在任何一方认为所需的合理时间内不能达成协议，按以下第(②)项方式处理：</w:t>
      </w:r>
    </w:p>
    <w:p w14:paraId="3C1F5285">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①根据《中华人民共和国仲裁法》的规定向</w:t>
      </w:r>
      <w:r>
        <w:rPr>
          <w:rFonts w:hint="eastAsia" w:ascii="仿宋" w:hAnsi="仿宋" w:eastAsia="仿宋" w:cs="仿宋"/>
          <w:b w:val="0"/>
          <w:bCs w:val="0"/>
          <w:i w:val="0"/>
          <w:iCs w:val="0"/>
          <w:caps w:val="0"/>
          <w:snapToGrid/>
          <w:color w:val="auto"/>
          <w:spacing w:val="0"/>
          <w:kern w:val="0"/>
          <w:sz w:val="24"/>
          <w:szCs w:val="24"/>
          <w:highlight w:val="none"/>
          <w:u w:val="single"/>
          <w:shd w:val="clear" w:color="auto" w:fill="FFFFFF"/>
          <w:lang w:val="en-US" w:eastAsia="zh-CN" w:bidi="ar"/>
        </w:rPr>
        <w:t xml:space="preserve">       </w:t>
      </w: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申请仲裁。</w:t>
      </w:r>
    </w:p>
    <w:p w14:paraId="23815F9C">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right="0" w:firstLine="480" w:firstLineChars="200"/>
        <w:jc w:val="both"/>
        <w:textAlignment w:val="auto"/>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b w:val="0"/>
          <w:bCs w:val="0"/>
          <w:i w:val="0"/>
          <w:iCs w:val="0"/>
          <w:caps w:val="0"/>
          <w:snapToGrid/>
          <w:color w:val="auto"/>
          <w:spacing w:val="0"/>
          <w:kern w:val="0"/>
          <w:sz w:val="24"/>
          <w:szCs w:val="24"/>
          <w:highlight w:val="none"/>
          <w:shd w:val="clear" w:color="auto" w:fill="FFFFFF"/>
          <w:lang w:val="en-US" w:eastAsia="zh-CN" w:bidi="ar"/>
        </w:rPr>
        <w:t>②向甲方所在地人民法院起诉。</w:t>
      </w:r>
    </w:p>
    <w:p w14:paraId="4D87ED35">
      <w:pPr>
        <w:shd w:val="clear"/>
        <w:spacing w:before="9"/>
        <w:rPr>
          <w:rFonts w:hint="eastAsia" w:ascii="仿宋" w:hAnsi="仿宋" w:eastAsia="仿宋" w:cs="仿宋"/>
          <w:color w:val="auto"/>
          <w:highlight w:val="none"/>
        </w:rPr>
      </w:pPr>
      <w:bookmarkStart w:id="39" w:name="bookmark21"/>
      <w:bookmarkEnd w:id="39"/>
    </w:p>
    <w:tbl>
      <w:tblPr>
        <w:tblStyle w:val="15"/>
        <w:tblW w:w="9659" w:type="dxa"/>
        <w:tblInd w:w="6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44"/>
        <w:gridCol w:w="4915"/>
      </w:tblGrid>
      <w:tr w14:paraId="2217B84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01" w:hRule="atLeast"/>
        </w:trPr>
        <w:tc>
          <w:tcPr>
            <w:tcW w:w="4744" w:type="dxa"/>
            <w:vAlign w:val="top"/>
          </w:tcPr>
          <w:p w14:paraId="17AE7589">
            <w:pPr>
              <w:pStyle w:val="14"/>
              <w:shd w:val="clear"/>
              <w:spacing w:before="1" w:line="218" w:lineRule="auto"/>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甲方</w:t>
            </w:r>
            <w:r>
              <w:rPr>
                <w:rFonts w:hint="eastAsia" w:ascii="仿宋" w:hAnsi="仿宋" w:eastAsia="仿宋" w:cs="仿宋"/>
                <w:color w:val="auto"/>
                <w:spacing w:val="-41"/>
                <w:sz w:val="24"/>
                <w:szCs w:val="24"/>
                <w:highlight w:val="none"/>
              </w:rPr>
              <w:t>：（</w:t>
            </w:r>
            <w:r>
              <w:rPr>
                <w:rFonts w:hint="eastAsia" w:ascii="仿宋" w:hAnsi="仿宋" w:eastAsia="仿宋" w:cs="仿宋"/>
                <w:color w:val="auto"/>
                <w:spacing w:val="-14"/>
                <w:sz w:val="24"/>
                <w:szCs w:val="24"/>
                <w:highlight w:val="none"/>
              </w:rPr>
              <w:t>盖章）</w:t>
            </w:r>
          </w:p>
          <w:p w14:paraId="0404BF70">
            <w:pPr>
              <w:shd w:val="clear"/>
              <w:spacing w:line="254" w:lineRule="auto"/>
              <w:rPr>
                <w:rFonts w:hint="eastAsia" w:ascii="仿宋" w:hAnsi="仿宋" w:eastAsia="仿宋" w:cs="仿宋"/>
                <w:color w:val="auto"/>
                <w:sz w:val="24"/>
                <w:szCs w:val="24"/>
                <w:highlight w:val="none"/>
              </w:rPr>
            </w:pPr>
          </w:p>
          <w:p w14:paraId="79CCC0E7">
            <w:pPr>
              <w:shd w:val="clear"/>
              <w:spacing w:line="255" w:lineRule="auto"/>
              <w:rPr>
                <w:rFonts w:hint="eastAsia" w:ascii="仿宋" w:hAnsi="仿宋" w:eastAsia="仿宋" w:cs="仿宋"/>
                <w:color w:val="auto"/>
                <w:sz w:val="24"/>
                <w:szCs w:val="24"/>
                <w:highlight w:val="none"/>
              </w:rPr>
            </w:pPr>
          </w:p>
          <w:p w14:paraId="65DAD780">
            <w:pPr>
              <w:pStyle w:val="14"/>
              <w:shd w:val="clear"/>
              <w:spacing w:before="78"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甲方法定代表人或授权委托人（签字）</w:t>
            </w:r>
          </w:p>
          <w:p w14:paraId="4EBC0474">
            <w:pPr>
              <w:shd w:val="clear"/>
              <w:spacing w:line="283" w:lineRule="auto"/>
              <w:rPr>
                <w:rFonts w:hint="eastAsia" w:ascii="仿宋" w:hAnsi="仿宋" w:eastAsia="仿宋" w:cs="仿宋"/>
                <w:color w:val="auto"/>
                <w:sz w:val="24"/>
                <w:szCs w:val="24"/>
                <w:highlight w:val="none"/>
              </w:rPr>
            </w:pPr>
          </w:p>
          <w:p w14:paraId="20635DC7">
            <w:pPr>
              <w:shd w:val="clear"/>
              <w:spacing w:line="283" w:lineRule="auto"/>
              <w:rPr>
                <w:rFonts w:hint="eastAsia" w:ascii="仿宋" w:hAnsi="仿宋" w:eastAsia="仿宋" w:cs="仿宋"/>
                <w:color w:val="auto"/>
                <w:sz w:val="24"/>
                <w:szCs w:val="24"/>
                <w:highlight w:val="none"/>
              </w:rPr>
            </w:pPr>
          </w:p>
          <w:p w14:paraId="0EF4D941">
            <w:pPr>
              <w:pStyle w:val="14"/>
              <w:shd w:val="clear"/>
              <w:spacing w:before="78" w:line="221" w:lineRule="auto"/>
              <w:rPr>
                <w:rFonts w:hint="eastAsia" w:ascii="仿宋" w:hAnsi="仿宋" w:eastAsia="仿宋" w:cs="仿宋"/>
                <w:color w:val="auto"/>
                <w:sz w:val="24"/>
                <w:szCs w:val="24"/>
                <w:highlight w:val="none"/>
              </w:rPr>
            </w:pPr>
            <w:r>
              <w:rPr>
                <w:rFonts w:hint="eastAsia" w:ascii="仿宋" w:hAnsi="仿宋" w:eastAsia="仿宋" w:cs="仿宋"/>
                <w:color w:val="auto"/>
                <w:spacing w:val="-18"/>
                <w:sz w:val="24"/>
                <w:szCs w:val="24"/>
                <w:highlight w:val="none"/>
              </w:rPr>
              <w:t>甲方地址：</w:t>
            </w:r>
          </w:p>
        </w:tc>
        <w:tc>
          <w:tcPr>
            <w:tcW w:w="4915" w:type="dxa"/>
            <w:vAlign w:val="top"/>
          </w:tcPr>
          <w:p w14:paraId="564B12B1">
            <w:pPr>
              <w:pStyle w:val="14"/>
              <w:shd w:val="clear"/>
              <w:spacing w:before="1" w:line="218" w:lineRule="auto"/>
              <w:ind w:left="504"/>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乙方</w:t>
            </w:r>
            <w:r>
              <w:rPr>
                <w:rFonts w:hint="eastAsia" w:ascii="仿宋" w:hAnsi="仿宋" w:eastAsia="仿宋" w:cs="仿宋"/>
                <w:color w:val="auto"/>
                <w:spacing w:val="-42"/>
                <w:sz w:val="24"/>
                <w:szCs w:val="24"/>
                <w:highlight w:val="none"/>
              </w:rPr>
              <w:t>：（</w:t>
            </w:r>
            <w:r>
              <w:rPr>
                <w:rFonts w:hint="eastAsia" w:ascii="仿宋" w:hAnsi="仿宋" w:eastAsia="仿宋" w:cs="仿宋"/>
                <w:color w:val="auto"/>
                <w:spacing w:val="-12"/>
                <w:sz w:val="24"/>
                <w:szCs w:val="24"/>
                <w:highlight w:val="none"/>
              </w:rPr>
              <w:t>盖章）</w:t>
            </w:r>
          </w:p>
          <w:p w14:paraId="13CB4950">
            <w:pPr>
              <w:shd w:val="clear"/>
              <w:spacing w:line="254" w:lineRule="auto"/>
              <w:rPr>
                <w:rFonts w:hint="eastAsia" w:ascii="仿宋" w:hAnsi="仿宋" w:eastAsia="仿宋" w:cs="仿宋"/>
                <w:color w:val="auto"/>
                <w:sz w:val="24"/>
                <w:szCs w:val="24"/>
                <w:highlight w:val="none"/>
              </w:rPr>
            </w:pPr>
          </w:p>
          <w:p w14:paraId="6D5D9078">
            <w:pPr>
              <w:shd w:val="clear"/>
              <w:spacing w:line="255" w:lineRule="auto"/>
              <w:rPr>
                <w:rFonts w:hint="eastAsia" w:ascii="仿宋" w:hAnsi="仿宋" w:eastAsia="仿宋" w:cs="仿宋"/>
                <w:color w:val="auto"/>
                <w:sz w:val="24"/>
                <w:szCs w:val="24"/>
                <w:highlight w:val="none"/>
              </w:rPr>
            </w:pPr>
          </w:p>
          <w:p w14:paraId="4AEF127E">
            <w:pPr>
              <w:pStyle w:val="14"/>
              <w:shd w:val="clear"/>
              <w:spacing w:before="78" w:line="220" w:lineRule="auto"/>
              <w:jc w:val="right"/>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乙方法定代表人或授权委托人（签字）</w:t>
            </w:r>
          </w:p>
          <w:p w14:paraId="485FE06C">
            <w:pPr>
              <w:shd w:val="clear"/>
              <w:spacing w:line="283" w:lineRule="auto"/>
              <w:rPr>
                <w:rFonts w:hint="eastAsia" w:ascii="仿宋" w:hAnsi="仿宋" w:eastAsia="仿宋" w:cs="仿宋"/>
                <w:color w:val="auto"/>
                <w:sz w:val="24"/>
                <w:szCs w:val="24"/>
                <w:highlight w:val="none"/>
              </w:rPr>
            </w:pPr>
          </w:p>
          <w:p w14:paraId="78A575B2">
            <w:pPr>
              <w:shd w:val="clear"/>
              <w:spacing w:line="283" w:lineRule="auto"/>
              <w:rPr>
                <w:rFonts w:hint="eastAsia" w:ascii="仿宋" w:hAnsi="仿宋" w:eastAsia="仿宋" w:cs="仿宋"/>
                <w:color w:val="auto"/>
                <w:sz w:val="24"/>
                <w:szCs w:val="24"/>
                <w:highlight w:val="none"/>
              </w:rPr>
            </w:pPr>
          </w:p>
          <w:p w14:paraId="3DA922AC">
            <w:pPr>
              <w:pStyle w:val="14"/>
              <w:shd w:val="clear"/>
              <w:spacing w:before="78" w:line="221" w:lineRule="auto"/>
              <w:ind w:left="472"/>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乙方地址：</w:t>
            </w:r>
          </w:p>
        </w:tc>
      </w:tr>
      <w:tr w14:paraId="157B52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091" w:hRule="atLeast"/>
        </w:trPr>
        <w:tc>
          <w:tcPr>
            <w:tcW w:w="4744" w:type="dxa"/>
            <w:vAlign w:val="top"/>
          </w:tcPr>
          <w:p w14:paraId="0C7D0473">
            <w:pPr>
              <w:shd w:val="clear"/>
              <w:spacing w:line="441" w:lineRule="auto"/>
              <w:rPr>
                <w:rFonts w:hint="eastAsia" w:ascii="仿宋" w:hAnsi="仿宋" w:eastAsia="仿宋" w:cs="仿宋"/>
                <w:color w:val="auto"/>
                <w:sz w:val="24"/>
                <w:szCs w:val="24"/>
                <w:highlight w:val="none"/>
              </w:rPr>
            </w:pPr>
          </w:p>
          <w:p w14:paraId="4C4B6E3F">
            <w:pPr>
              <w:pStyle w:val="14"/>
              <w:shd w:val="clear"/>
              <w:spacing w:before="78" w:line="221" w:lineRule="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甲方联系人及电话</w:t>
            </w:r>
          </w:p>
        </w:tc>
        <w:tc>
          <w:tcPr>
            <w:tcW w:w="4915" w:type="dxa"/>
            <w:vAlign w:val="top"/>
          </w:tcPr>
          <w:p w14:paraId="7AF7C764">
            <w:pPr>
              <w:shd w:val="clear"/>
              <w:spacing w:line="441" w:lineRule="auto"/>
              <w:rPr>
                <w:rFonts w:hint="eastAsia" w:ascii="仿宋" w:hAnsi="仿宋" w:eastAsia="仿宋" w:cs="仿宋"/>
                <w:color w:val="auto"/>
                <w:sz w:val="24"/>
                <w:szCs w:val="24"/>
                <w:highlight w:val="none"/>
              </w:rPr>
            </w:pPr>
          </w:p>
          <w:p w14:paraId="1FAE50E6">
            <w:pPr>
              <w:pStyle w:val="14"/>
              <w:shd w:val="clear"/>
              <w:spacing w:before="78" w:line="221" w:lineRule="auto"/>
              <w:ind w:left="364"/>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乙方联系人及电话</w:t>
            </w:r>
          </w:p>
        </w:tc>
      </w:tr>
      <w:tr w14:paraId="2CDC13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4" w:hRule="atLeast"/>
        </w:trPr>
        <w:tc>
          <w:tcPr>
            <w:tcW w:w="4744" w:type="dxa"/>
            <w:vAlign w:val="top"/>
          </w:tcPr>
          <w:p w14:paraId="5F085294">
            <w:pPr>
              <w:pStyle w:val="14"/>
              <w:shd w:val="clear"/>
              <w:spacing w:before="317" w:line="177" w:lineRule="auto"/>
              <w:ind w:left="420" w:firstLine="460"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w:t>
            </w:r>
            <w:r>
              <w:rPr>
                <w:rFonts w:hint="eastAsia" w:ascii="仿宋" w:hAnsi="仿宋" w:eastAsia="仿宋" w:cs="仿宋"/>
                <w:color w:val="auto"/>
                <w:spacing w:val="-5"/>
                <w:sz w:val="24"/>
                <w:szCs w:val="24"/>
                <w:highlight w:val="none"/>
                <w:lang w:val="en-US" w:eastAsia="zh-CN"/>
              </w:rPr>
              <w:t xml:space="preserve">  </w:t>
            </w:r>
            <w:r>
              <w:rPr>
                <w:rFonts w:hint="eastAsia" w:ascii="仿宋" w:hAnsi="仿宋" w:eastAsia="仿宋" w:cs="仿宋"/>
                <w:color w:val="auto"/>
                <w:spacing w:val="-5"/>
                <w:sz w:val="24"/>
                <w:szCs w:val="24"/>
                <w:highlight w:val="none"/>
              </w:rPr>
              <w:t>月</w:t>
            </w:r>
            <w:r>
              <w:rPr>
                <w:rFonts w:hint="eastAsia" w:ascii="仿宋" w:hAnsi="仿宋" w:eastAsia="仿宋" w:cs="仿宋"/>
                <w:color w:val="auto"/>
                <w:spacing w:val="-5"/>
                <w:sz w:val="24"/>
                <w:szCs w:val="24"/>
                <w:highlight w:val="none"/>
                <w:lang w:val="en-US" w:eastAsia="zh-CN"/>
              </w:rPr>
              <w:t xml:space="preserve">  </w:t>
            </w:r>
            <w:r>
              <w:rPr>
                <w:rFonts w:hint="eastAsia" w:ascii="仿宋" w:hAnsi="仿宋" w:eastAsia="仿宋" w:cs="仿宋"/>
                <w:color w:val="auto"/>
                <w:spacing w:val="-5"/>
                <w:sz w:val="24"/>
                <w:szCs w:val="24"/>
                <w:highlight w:val="none"/>
              </w:rPr>
              <w:t>日</w:t>
            </w:r>
          </w:p>
        </w:tc>
        <w:tc>
          <w:tcPr>
            <w:tcW w:w="4915" w:type="dxa"/>
            <w:vAlign w:val="top"/>
          </w:tcPr>
          <w:p w14:paraId="3AFA10D4">
            <w:pPr>
              <w:pStyle w:val="14"/>
              <w:shd w:val="clear"/>
              <w:spacing w:before="317" w:line="177" w:lineRule="auto"/>
              <w:ind w:left="985"/>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年</w:t>
            </w:r>
            <w:r>
              <w:rPr>
                <w:rFonts w:hint="eastAsia" w:ascii="仿宋" w:hAnsi="仿宋" w:eastAsia="仿宋" w:cs="仿宋"/>
                <w:color w:val="auto"/>
                <w:spacing w:val="-9"/>
                <w:sz w:val="24"/>
                <w:szCs w:val="24"/>
                <w:highlight w:val="none"/>
                <w:lang w:val="en-US" w:eastAsia="zh-CN"/>
              </w:rPr>
              <w:t xml:space="preserve">  </w:t>
            </w:r>
            <w:r>
              <w:rPr>
                <w:rFonts w:hint="eastAsia" w:ascii="仿宋" w:hAnsi="仿宋" w:eastAsia="仿宋" w:cs="仿宋"/>
                <w:color w:val="auto"/>
                <w:spacing w:val="-9"/>
                <w:sz w:val="24"/>
                <w:szCs w:val="24"/>
                <w:highlight w:val="none"/>
              </w:rPr>
              <w:t>月</w:t>
            </w:r>
            <w:r>
              <w:rPr>
                <w:rFonts w:hint="eastAsia" w:ascii="仿宋" w:hAnsi="仿宋" w:eastAsia="仿宋" w:cs="仿宋"/>
                <w:color w:val="auto"/>
                <w:spacing w:val="-9"/>
                <w:sz w:val="24"/>
                <w:szCs w:val="24"/>
                <w:highlight w:val="none"/>
                <w:lang w:val="en-US" w:eastAsia="zh-CN"/>
              </w:rPr>
              <w:t xml:space="preserve">  </w:t>
            </w:r>
            <w:r>
              <w:rPr>
                <w:rFonts w:hint="eastAsia" w:ascii="仿宋" w:hAnsi="仿宋" w:eastAsia="仿宋" w:cs="仿宋"/>
                <w:color w:val="auto"/>
                <w:spacing w:val="-9"/>
                <w:sz w:val="24"/>
                <w:szCs w:val="24"/>
                <w:highlight w:val="none"/>
              </w:rPr>
              <w:t>日</w:t>
            </w:r>
          </w:p>
        </w:tc>
      </w:tr>
    </w:tbl>
    <w:p w14:paraId="26C1C869">
      <w:pPr>
        <w:pStyle w:val="3"/>
        <w:shd w:val="clear"/>
        <w:rPr>
          <w:rFonts w:hint="eastAsia" w:ascii="仿宋" w:hAnsi="仿宋" w:eastAsia="仿宋" w:cs="仿宋"/>
          <w:color w:val="auto"/>
          <w:highlight w:val="none"/>
        </w:rPr>
      </w:pPr>
    </w:p>
    <w:p w14:paraId="59777BD6">
      <w:pPr>
        <w:shd w:val="clear"/>
        <w:rPr>
          <w:rFonts w:hint="eastAsia" w:ascii="仿宋" w:hAnsi="仿宋" w:eastAsia="仿宋" w:cs="仿宋"/>
          <w:color w:val="auto"/>
          <w:highlight w:val="none"/>
        </w:rPr>
        <w:sectPr>
          <w:headerReference r:id="rId5" w:type="default"/>
          <w:footerReference r:id="rId6" w:type="default"/>
          <w:pgSz w:w="11906" w:h="16839"/>
          <w:pgMar w:top="1440" w:right="1080" w:bottom="1440" w:left="1080" w:header="864" w:footer="924" w:gutter="0"/>
          <w:cols w:space="0" w:num="1"/>
          <w:rtlGutter w:val="0"/>
          <w:docGrid w:linePitch="0" w:charSpace="0"/>
        </w:sectPr>
      </w:pPr>
    </w:p>
    <w:p w14:paraId="238037C3">
      <w:pPr>
        <w:pStyle w:val="3"/>
        <w:shd w:val="clear"/>
        <w:spacing w:line="263" w:lineRule="auto"/>
        <w:rPr>
          <w:rFonts w:hint="eastAsia" w:ascii="仿宋" w:hAnsi="仿宋" w:eastAsia="仿宋" w:cs="仿宋"/>
          <w:color w:val="auto"/>
          <w:highlight w:val="none"/>
        </w:rPr>
      </w:pPr>
    </w:p>
    <w:p w14:paraId="435D1B0D">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bookmarkStart w:id="40" w:name="_Toc7219"/>
      <w:r>
        <w:rPr>
          <w:rFonts w:hint="eastAsia" w:ascii="仿宋" w:hAnsi="仿宋" w:eastAsia="仿宋" w:cs="仿宋"/>
          <w:b/>
          <w:bCs/>
          <w:snapToGrid/>
          <w:color w:val="auto"/>
          <w:sz w:val="36"/>
          <w:szCs w:val="36"/>
          <w:highlight w:val="none"/>
          <w:lang w:val="en-US" w:eastAsia="zh-CN"/>
        </w:rPr>
        <w:t>第九章  供应商信用信息</w:t>
      </w:r>
      <w:bookmarkEnd w:id="40"/>
    </w:p>
    <w:p w14:paraId="581C8C44">
      <w:pPr>
        <w:pStyle w:val="3"/>
        <w:shd w:val="clear"/>
        <w:spacing w:line="302" w:lineRule="auto"/>
        <w:rPr>
          <w:rFonts w:hint="eastAsia" w:ascii="仿宋" w:hAnsi="仿宋" w:eastAsia="仿宋" w:cs="仿宋"/>
          <w:color w:val="auto"/>
          <w:highlight w:val="none"/>
        </w:rPr>
      </w:pPr>
    </w:p>
    <w:p w14:paraId="1D154FD0">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供应商存在不良信用记录的不得入围。</w:t>
      </w:r>
    </w:p>
    <w:p w14:paraId="02D588A4">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1、不良信用记录是指：</w:t>
      </w:r>
    </w:p>
    <w:p w14:paraId="0CF331A0">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（1）被人民法院列入失信被执行人；</w:t>
      </w:r>
    </w:p>
    <w:p w14:paraId="6C15C724">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（2）被市场监督管理部门列入严重违法失信企业名录；</w:t>
      </w:r>
    </w:p>
    <w:p w14:paraId="37658202">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（3）被税务部门列入重大税收违法案件当事人名单的；</w:t>
      </w:r>
    </w:p>
    <w:p w14:paraId="22DD4C69">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（4）被采购监管部门列入采购严重违法失信行为记录名单。</w:t>
      </w:r>
    </w:p>
    <w:p w14:paraId="6720F90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2、信用信息查询渠道：中国采购网（www.ccgp.gov.cn）、“信用中国”网站（www.creditchina.gov.cn）、国家企业信用信息公示系统（www.gsxt.gov.cn）。</w:t>
      </w:r>
    </w:p>
    <w:p w14:paraId="474BF7CF">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注：供应商应自行查询信用信息，查询截止时点为本项目响应文件提交截止时间。</w:t>
      </w:r>
    </w:p>
    <w:p w14:paraId="2A5216B5">
      <w:pPr>
        <w:pStyle w:val="3"/>
        <w:shd w:val="clear"/>
        <w:spacing w:line="341" w:lineRule="auto"/>
        <w:rPr>
          <w:rFonts w:hint="eastAsia" w:ascii="仿宋" w:hAnsi="仿宋" w:eastAsia="仿宋" w:cs="仿宋"/>
          <w:color w:val="auto"/>
          <w:highlight w:val="none"/>
        </w:rPr>
      </w:pPr>
    </w:p>
    <w:p w14:paraId="37D312EF">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bookmarkStart w:id="41" w:name="_Toc26344"/>
      <w:r>
        <w:rPr>
          <w:rFonts w:hint="eastAsia" w:ascii="仿宋" w:hAnsi="仿宋" w:eastAsia="仿宋" w:cs="仿宋"/>
          <w:b/>
          <w:bCs/>
          <w:snapToGrid/>
          <w:color w:val="auto"/>
          <w:sz w:val="36"/>
          <w:szCs w:val="36"/>
          <w:highlight w:val="none"/>
          <w:lang w:val="en-US" w:eastAsia="zh-CN"/>
        </w:rPr>
        <w:t>第十章   响应文件的编制和提交</w:t>
      </w:r>
      <w:bookmarkEnd w:id="41"/>
    </w:p>
    <w:p w14:paraId="02E07B64">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1.响应文件构成与要求</w:t>
      </w:r>
    </w:p>
    <w:p w14:paraId="0AB19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1.1响应文件是对征集文件的实质性响应及承诺文件。</w:t>
      </w:r>
    </w:p>
    <w:p w14:paraId="231A8A5E">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1.2除专用术语外，响应文件以及供应商与征集人就有关投标的往来函电均应使用中文。供应商提交的支持性文件和印制的文件可以用另一种语言，但相应内容应翻译成中文，对不同文字文本响应文件的解释发生异议的，以中文文本为准。</w:t>
      </w:r>
    </w:p>
    <w:p w14:paraId="4F770244">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1.3除非征集文件另有规定，响应文件应使用中华人民共和国法定计量单位。</w:t>
      </w:r>
    </w:p>
    <w:p w14:paraId="3A6BEABE">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1.4电报、电话、传真形式的投标概不接受。</w:t>
      </w:r>
    </w:p>
    <w:p w14:paraId="108A8754">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1.5除非征集文件另有规定，征集人一律不予退还供应商的响应文件。</w:t>
      </w:r>
    </w:p>
    <w:p w14:paraId="042A576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both"/>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2.响应内容填写及说明</w:t>
      </w:r>
    </w:p>
    <w:p w14:paraId="66071615">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2.1响应文件须对征集文件载明的征集资格、服务等全部要求和条件做出实质性和完整的响应，如果响应文件填报的内容资料不详，或没有提供征集文件所要求的全部资料、证明及数据，将导致响应无效。</w:t>
      </w:r>
    </w:p>
    <w:p w14:paraId="0425D9D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2.2供应商应在响应文件中提交征集文件要求的有关证明文件，作为其响应文件的一部分。</w:t>
      </w:r>
    </w:p>
    <w:p w14:paraId="4BBE6B8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2.3供应商应在响应文件中提交征集文件要求的所有服务的合格性以及符合征集文件规定的证明文件,并作为其响应文件的一部分。</w:t>
      </w:r>
    </w:p>
    <w:p w14:paraId="63FCE2E3">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3.响应文件的提交</w:t>
      </w:r>
    </w:p>
    <w:p w14:paraId="38E321BB">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3.1供应商应在供应商须知前附表中规定的响应文件提交截止时间前，在网上提交加密电子响应文件。</w:t>
      </w:r>
    </w:p>
    <w:p w14:paraId="144549A8">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3.2响应文件份数：壹式肆份，其中正本壹份、副本叁份。</w:t>
      </w:r>
    </w:p>
    <w:p w14:paraId="0585FF6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3.3响应文件的装订、密封和标记</w:t>
      </w:r>
    </w:p>
    <w:p w14:paraId="4E530E0C">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3.3.1响应文件应密封装订，密封袋封口处应密封，并加盖供应商公章及法定代表人印章；</w:t>
      </w:r>
    </w:p>
    <w:p w14:paraId="7C18B696">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3.3.2如果供应商未按要求密封及加写标记，导致发包人对响应文件的误投和提前启封概不负责。对由此造成提前开封的响应文件将予以拒绝，并退还给供应商。</w:t>
      </w:r>
    </w:p>
    <w:p w14:paraId="63F36880">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3.3.3响应文件在响应文件密封袋上均应写明：</w:t>
      </w:r>
    </w:p>
    <w:p w14:paraId="23E952B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3.4响应文件开启</w:t>
      </w:r>
    </w:p>
    <w:p w14:paraId="0B85ED5C">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3.4.1提交截止时间及开启时间：详见征集公告</w:t>
      </w:r>
    </w:p>
    <w:p w14:paraId="41F561C2">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3.4.2响应文件提交地点（网址）：详见征集公告</w:t>
      </w:r>
    </w:p>
    <w:p w14:paraId="506CBAEB">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t>3.4.3响应文件开启地点：详见征集公告</w:t>
      </w:r>
    </w:p>
    <w:p w14:paraId="6434340B">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sectPr>
          <w:headerReference r:id="rId7" w:type="default"/>
          <w:footerReference r:id="rId8" w:type="default"/>
          <w:pgSz w:w="11906" w:h="16839"/>
          <w:pgMar w:top="1440" w:right="1080" w:bottom="1440" w:left="1080" w:header="864" w:footer="924" w:gutter="0"/>
          <w:cols w:space="0" w:num="1"/>
          <w:rtlGutter w:val="0"/>
          <w:docGrid w:linePitch="0" w:charSpace="0"/>
        </w:sectPr>
      </w:pPr>
      <w:bookmarkStart w:id="42" w:name="bookmark29"/>
      <w:bookmarkEnd w:id="42"/>
    </w:p>
    <w:p w14:paraId="799C86D2">
      <w:pPr>
        <w:pStyle w:val="3"/>
        <w:shd w:val="clear"/>
        <w:spacing w:line="376" w:lineRule="auto"/>
        <w:rPr>
          <w:rFonts w:hint="eastAsia" w:ascii="仿宋" w:hAnsi="仿宋" w:eastAsia="仿宋" w:cs="仿宋"/>
          <w:color w:val="auto"/>
          <w:highlight w:val="none"/>
        </w:rPr>
      </w:pPr>
    </w:p>
    <w:p w14:paraId="013665BE">
      <w:pPr>
        <w:pStyle w:val="5"/>
        <w:keepNext/>
        <w:keepLines/>
        <w:widowControl/>
        <w:numPr>
          <w:ilvl w:val="0"/>
          <w:numId w:val="0"/>
        </w:numPr>
        <w:shd w:val="clear"/>
        <w:kinsoku/>
        <w:autoSpaceDE/>
        <w:autoSpaceDN/>
        <w:adjustRightInd/>
        <w:snapToGrid/>
        <w:spacing w:before="0" w:beforeLines="0" w:after="0" w:afterLines="0" w:line="560" w:lineRule="exact"/>
        <w:ind w:left="0"/>
        <w:jc w:val="center"/>
        <w:textAlignment w:val="auto"/>
        <w:outlineLvl w:val="0"/>
        <w:rPr>
          <w:rFonts w:hint="eastAsia" w:ascii="仿宋" w:hAnsi="仿宋" w:eastAsia="仿宋" w:cs="仿宋"/>
          <w:b/>
          <w:bCs/>
          <w:snapToGrid/>
          <w:color w:val="auto"/>
          <w:sz w:val="36"/>
          <w:szCs w:val="36"/>
          <w:highlight w:val="none"/>
          <w:lang w:val="en-US" w:eastAsia="zh-CN"/>
        </w:rPr>
      </w:pPr>
      <w:bookmarkStart w:id="43" w:name="_Toc6174"/>
      <w:r>
        <w:rPr>
          <w:rFonts w:hint="eastAsia" w:ascii="仿宋" w:hAnsi="仿宋" w:eastAsia="仿宋" w:cs="仿宋"/>
          <w:b/>
          <w:bCs/>
          <w:snapToGrid/>
          <w:color w:val="auto"/>
          <w:sz w:val="36"/>
          <w:szCs w:val="36"/>
          <w:highlight w:val="none"/>
          <w:lang w:val="en-US" w:eastAsia="zh-CN"/>
        </w:rPr>
        <w:t>第十一章响应文件（格式）</w:t>
      </w:r>
      <w:bookmarkEnd w:id="43"/>
    </w:p>
    <w:p w14:paraId="7511080F">
      <w:pPr>
        <w:pStyle w:val="16"/>
        <w:pageBreakBefore w:val="0"/>
        <w:widowControl/>
        <w:numPr>
          <w:ilvl w:val="0"/>
          <w:numId w:val="0"/>
        </w:numPr>
        <w:shd w:val="clea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封面：</w:t>
      </w:r>
    </w:p>
    <w:p w14:paraId="16B9DA99">
      <w:pPr>
        <w:pStyle w:val="16"/>
        <w:pageBreakBefore w:val="0"/>
        <w:widowControl/>
        <w:numPr>
          <w:ilvl w:val="0"/>
          <w:numId w:val="0"/>
        </w:numPr>
        <w:shd w:val="clear"/>
        <w:kinsoku/>
        <w:wordWrap/>
        <w:overflowPunct/>
        <w:topLinePunct w:val="0"/>
        <w:autoSpaceDE/>
        <w:autoSpaceDN/>
        <w:bidi w:val="0"/>
        <w:adjustRightInd/>
        <w:snapToGrid/>
        <w:spacing w:line="500" w:lineRule="exact"/>
        <w:ind w:firstLine="560" w:firstLineChars="200"/>
        <w:jc w:val="righ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正本/副本</w:t>
      </w:r>
    </w:p>
    <w:p w14:paraId="75F4D24A">
      <w:pPr>
        <w:pStyle w:val="16"/>
        <w:pageBreakBefore w:val="0"/>
        <w:widowControl/>
        <w:numPr>
          <w:ilvl w:val="0"/>
          <w:numId w:val="0"/>
        </w:numPr>
        <w:shd w:val="clea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8"/>
          <w:szCs w:val="28"/>
          <w:highlight w:val="none"/>
          <w:lang w:val="en-US" w:eastAsia="zh-CN"/>
        </w:rPr>
      </w:pPr>
    </w:p>
    <w:p w14:paraId="74E78D6C">
      <w:pPr>
        <w:pStyle w:val="16"/>
        <w:pageBreakBefore w:val="0"/>
        <w:widowControl/>
        <w:numPr>
          <w:ilvl w:val="0"/>
          <w:numId w:val="0"/>
        </w:numPr>
        <w:shd w:val="clea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snapToGrid/>
          <w:color w:val="auto"/>
          <w:spacing w:val="0"/>
          <w:kern w:val="0"/>
          <w:sz w:val="28"/>
          <w:szCs w:val="28"/>
          <w:highlight w:val="none"/>
          <w:shd w:val="clear" w:color="auto" w:fill="FFFFFF"/>
          <w:lang w:val="en-US" w:eastAsia="zh-CN" w:bidi="ar"/>
        </w:rPr>
      </w:pPr>
      <w:r>
        <w:rPr>
          <w:rFonts w:hint="eastAsia" w:ascii="仿宋" w:hAnsi="仿宋" w:eastAsia="仿宋" w:cs="仿宋"/>
          <w:b/>
          <w:bCs/>
          <w:color w:val="auto"/>
          <w:sz w:val="28"/>
          <w:szCs w:val="28"/>
          <w:highlight w:val="none"/>
          <w:lang w:val="en-US" w:eastAsia="zh-CN"/>
        </w:rPr>
        <w:t>六安城市建设投资有限公司征集第三方咨询服务机构项目框架协议</w:t>
      </w:r>
    </w:p>
    <w:p w14:paraId="77CE51B9">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p>
    <w:p w14:paraId="27C2332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p>
    <w:p w14:paraId="7451AFC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p>
    <w:p w14:paraId="48A67827">
      <w:pPr>
        <w:shd w:val="clear" w:color="auto"/>
        <w:spacing w:line="90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lang w:val="en-US" w:eastAsia="zh-CN"/>
        </w:rPr>
        <w:t>响应文件</w:t>
      </w:r>
    </w:p>
    <w:p w14:paraId="5385231E">
      <w:pPr>
        <w:widowControl w:val="0"/>
        <w:shd w:val="clear" w:color="auto"/>
        <w:kinsoku/>
        <w:autoSpaceDE/>
        <w:autoSpaceDN/>
        <w:adjustRightInd/>
        <w:snapToGrid/>
        <w:spacing w:line="900" w:lineRule="exact"/>
        <w:jc w:val="center"/>
        <w:textAlignment w:val="auto"/>
        <w:rPr>
          <w:rFonts w:hint="eastAsia" w:ascii="仿宋" w:hAnsi="仿宋" w:eastAsia="仿宋" w:cs="仿宋"/>
          <w:b/>
          <w:snapToGrid/>
          <w:color w:val="auto"/>
          <w:kern w:val="2"/>
          <w:sz w:val="84"/>
          <w:szCs w:val="84"/>
          <w:highlight w:val="none"/>
          <w:lang w:val="en-US" w:eastAsia="zh-CN"/>
        </w:rPr>
      </w:pPr>
    </w:p>
    <w:p w14:paraId="036B91DA">
      <w:pPr>
        <w:widowControl w:val="0"/>
        <w:shd w:val="clear" w:color="auto"/>
        <w:kinsoku/>
        <w:autoSpaceDE/>
        <w:autoSpaceDN/>
        <w:adjustRightInd/>
        <w:snapToGrid/>
        <w:spacing w:line="900" w:lineRule="exact"/>
        <w:jc w:val="center"/>
        <w:textAlignment w:val="auto"/>
        <w:rPr>
          <w:rFonts w:hint="eastAsia" w:ascii="仿宋" w:hAnsi="仿宋" w:eastAsia="仿宋" w:cs="仿宋"/>
          <w:b/>
          <w:snapToGrid/>
          <w:color w:val="auto"/>
          <w:kern w:val="2"/>
          <w:sz w:val="84"/>
          <w:szCs w:val="84"/>
          <w:highlight w:val="none"/>
          <w:lang w:val="en-US" w:eastAsia="zh-CN"/>
        </w:rPr>
      </w:pPr>
    </w:p>
    <w:p w14:paraId="24EA9E62">
      <w:pPr>
        <w:widowControl w:val="0"/>
        <w:shd w:val="clear" w:color="auto"/>
        <w:kinsoku/>
        <w:autoSpaceDE/>
        <w:autoSpaceDN/>
        <w:adjustRightInd/>
        <w:snapToGrid/>
        <w:spacing w:line="900" w:lineRule="exact"/>
        <w:jc w:val="center"/>
        <w:textAlignment w:val="auto"/>
        <w:rPr>
          <w:rFonts w:hint="eastAsia" w:ascii="仿宋" w:hAnsi="仿宋" w:eastAsia="仿宋" w:cs="仿宋"/>
          <w:b/>
          <w:snapToGrid/>
          <w:color w:val="auto"/>
          <w:kern w:val="2"/>
          <w:sz w:val="84"/>
          <w:szCs w:val="84"/>
          <w:highlight w:val="none"/>
          <w:lang w:val="en-US" w:eastAsia="zh-CN"/>
        </w:rPr>
      </w:pPr>
    </w:p>
    <w:p w14:paraId="7D65631D">
      <w:pPr>
        <w:widowControl w:val="0"/>
        <w:shd w:val="clear" w:color="auto"/>
        <w:kinsoku/>
        <w:autoSpaceDE/>
        <w:autoSpaceDN/>
        <w:adjustRightInd/>
        <w:snapToGrid/>
        <w:spacing w:line="900" w:lineRule="exact"/>
        <w:jc w:val="center"/>
        <w:textAlignment w:val="auto"/>
        <w:rPr>
          <w:rFonts w:hint="eastAsia" w:ascii="仿宋" w:hAnsi="仿宋" w:eastAsia="仿宋" w:cs="仿宋"/>
          <w:b/>
          <w:snapToGrid/>
          <w:color w:val="auto"/>
          <w:kern w:val="2"/>
          <w:sz w:val="84"/>
          <w:szCs w:val="84"/>
          <w:highlight w:val="none"/>
          <w:lang w:val="en-US" w:eastAsia="zh-CN"/>
        </w:rPr>
      </w:pPr>
    </w:p>
    <w:p w14:paraId="17B2B130">
      <w:pPr>
        <w:widowControl w:val="0"/>
        <w:shd w:val="clear" w:color="auto"/>
        <w:kinsoku/>
        <w:autoSpaceDE/>
        <w:autoSpaceDN/>
        <w:adjustRightInd/>
        <w:snapToGrid/>
        <w:spacing w:line="900" w:lineRule="exact"/>
        <w:jc w:val="center"/>
        <w:textAlignment w:val="auto"/>
        <w:rPr>
          <w:rFonts w:hint="eastAsia" w:ascii="仿宋" w:hAnsi="仿宋" w:eastAsia="仿宋" w:cs="仿宋"/>
          <w:b/>
          <w:snapToGrid/>
          <w:color w:val="auto"/>
          <w:kern w:val="2"/>
          <w:sz w:val="84"/>
          <w:szCs w:val="84"/>
          <w:highlight w:val="none"/>
          <w:lang w:val="en-US" w:eastAsia="zh-CN"/>
        </w:rPr>
      </w:pPr>
    </w:p>
    <w:p w14:paraId="2F829EAA">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p>
    <w:p w14:paraId="4DBAEE99">
      <w:pPr>
        <w:shd w:val="clear" w:color="auto"/>
        <w:spacing w:after="120" w:afterLines="50" w:line="500" w:lineRule="exact"/>
        <w:ind w:firstLine="2530" w:firstLineChars="900"/>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lang w:eastAsia="zh-CN"/>
        </w:rPr>
        <w:t>供应商（</w:t>
      </w:r>
      <w:r>
        <w:rPr>
          <w:rFonts w:hint="eastAsia" w:ascii="仿宋" w:hAnsi="仿宋" w:eastAsia="仿宋" w:cs="仿宋"/>
          <w:b/>
          <w:color w:val="auto"/>
          <w:sz w:val="28"/>
          <w:szCs w:val="28"/>
          <w:highlight w:val="none"/>
          <w:lang w:val="en-US" w:eastAsia="zh-CN"/>
        </w:rPr>
        <w:t>盖章</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w:t>
      </w:r>
    </w:p>
    <w:p w14:paraId="3D31F5EC">
      <w:pPr>
        <w:shd w:val="clear" w:color="auto"/>
        <w:spacing w:after="120" w:afterLines="50"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w:t>
      </w:r>
    </w:p>
    <w:p w14:paraId="1BC08E4D">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p>
    <w:p w14:paraId="12F269C1">
      <w:pPr>
        <w:keepNext w:val="0"/>
        <w:keepLines w:val="0"/>
        <w:widowControl/>
        <w:suppressLineNumbers w:val="0"/>
        <w:pBdr>
          <w:top w:val="none" w:color="auto" w:sz="0" w:space="0"/>
          <w:left w:val="none" w:color="auto" w:sz="0" w:space="0"/>
          <w:bottom w:val="none" w:color="auto" w:sz="0" w:space="0"/>
          <w:right w:val="none" w:color="auto" w:sz="0" w:space="0"/>
        </w:pBdr>
        <w:shd w:val="clear" w:color="auto"/>
        <w:kinsoku/>
        <w:autoSpaceDE/>
        <w:autoSpaceDN/>
        <w:adjustRightInd/>
        <w:snapToGrid/>
        <w:spacing w:before="0" w:beforeAutospacing="0" w:after="0" w:afterAutospacing="0" w:line="560" w:lineRule="atLeast"/>
        <w:ind w:left="0" w:right="0" w:firstLine="560"/>
        <w:jc w:val="left"/>
        <w:textAlignment w:val="auto"/>
        <w:rPr>
          <w:rFonts w:hint="eastAsia" w:ascii="仿宋" w:hAnsi="仿宋" w:eastAsia="仿宋" w:cs="仿宋"/>
          <w:i w:val="0"/>
          <w:iCs w:val="0"/>
          <w:caps w:val="0"/>
          <w:snapToGrid/>
          <w:color w:val="auto"/>
          <w:spacing w:val="0"/>
          <w:kern w:val="0"/>
          <w:sz w:val="24"/>
          <w:szCs w:val="24"/>
          <w:highlight w:val="none"/>
          <w:shd w:val="clear" w:color="auto" w:fill="FFFFFF"/>
          <w:lang w:val="en-US" w:eastAsia="zh-CN" w:bidi="ar"/>
        </w:rPr>
      </w:pPr>
    </w:p>
    <w:p w14:paraId="2ED86318">
      <w:pPr>
        <w:pStyle w:val="3"/>
        <w:shd w:val="clear"/>
        <w:spacing w:line="376" w:lineRule="auto"/>
        <w:rPr>
          <w:rFonts w:hint="eastAsia" w:ascii="仿宋" w:hAnsi="仿宋" w:eastAsia="仿宋" w:cs="仿宋"/>
          <w:color w:val="auto"/>
          <w:highlight w:val="none"/>
        </w:rPr>
      </w:pPr>
    </w:p>
    <w:p w14:paraId="768DB870">
      <w:pPr>
        <w:shd w:val="clear"/>
        <w:spacing w:before="91" w:line="219" w:lineRule="auto"/>
        <w:ind w:left="1020"/>
        <w:outlineLvl w:val="1"/>
        <w:rPr>
          <w:rFonts w:hint="eastAsia" w:ascii="仿宋" w:hAnsi="仿宋" w:eastAsia="仿宋" w:cs="仿宋"/>
          <w:color w:val="auto"/>
          <w:sz w:val="28"/>
          <w:szCs w:val="28"/>
          <w:highlight w:val="none"/>
        </w:rPr>
      </w:pPr>
      <w:bookmarkStart w:id="44" w:name="bookmark31"/>
      <w:bookmarkEnd w:id="44"/>
      <w:bookmarkStart w:id="45" w:name="_Toc8299"/>
      <w:r>
        <w:rPr>
          <w:rFonts w:hint="eastAsia" w:ascii="仿宋" w:hAnsi="仿宋" w:eastAsia="仿宋" w:cs="仿宋"/>
          <w:b/>
          <w:bCs/>
          <w:color w:val="auto"/>
          <w:spacing w:val="-3"/>
          <w:sz w:val="28"/>
          <w:szCs w:val="28"/>
          <w:highlight w:val="none"/>
        </w:rPr>
        <w:t>一、营业执照（或事业单位法人登记证书）和税务登记证</w:t>
      </w:r>
      <w:bookmarkEnd w:id="45"/>
    </w:p>
    <w:p w14:paraId="2B2F5B60">
      <w:pPr>
        <w:pStyle w:val="3"/>
        <w:shd w:val="clear"/>
        <w:spacing w:line="245" w:lineRule="auto"/>
        <w:rPr>
          <w:rFonts w:hint="eastAsia" w:ascii="仿宋" w:hAnsi="仿宋" w:eastAsia="仿宋" w:cs="仿宋"/>
          <w:color w:val="auto"/>
          <w:highlight w:val="none"/>
        </w:rPr>
      </w:pPr>
    </w:p>
    <w:p w14:paraId="0CBEF3FA">
      <w:pPr>
        <w:pStyle w:val="3"/>
        <w:shd w:val="clear"/>
        <w:spacing w:line="245" w:lineRule="auto"/>
        <w:rPr>
          <w:rFonts w:hint="eastAsia" w:ascii="仿宋" w:hAnsi="仿宋" w:eastAsia="仿宋" w:cs="仿宋"/>
          <w:color w:val="auto"/>
          <w:highlight w:val="none"/>
        </w:rPr>
      </w:pPr>
    </w:p>
    <w:p w14:paraId="125D5863">
      <w:pPr>
        <w:pStyle w:val="3"/>
        <w:shd w:val="clear"/>
        <w:spacing w:line="245" w:lineRule="auto"/>
        <w:rPr>
          <w:rFonts w:hint="eastAsia" w:ascii="仿宋" w:hAnsi="仿宋" w:eastAsia="仿宋" w:cs="仿宋"/>
          <w:color w:val="auto"/>
          <w:highlight w:val="none"/>
        </w:rPr>
      </w:pPr>
    </w:p>
    <w:p w14:paraId="58B3F997">
      <w:pPr>
        <w:pStyle w:val="3"/>
        <w:shd w:val="clear"/>
        <w:spacing w:line="245" w:lineRule="auto"/>
        <w:rPr>
          <w:rFonts w:hint="eastAsia" w:ascii="仿宋" w:hAnsi="仿宋" w:eastAsia="仿宋" w:cs="仿宋"/>
          <w:color w:val="auto"/>
          <w:highlight w:val="none"/>
        </w:rPr>
      </w:pPr>
    </w:p>
    <w:p w14:paraId="5C9963E4">
      <w:pPr>
        <w:pStyle w:val="3"/>
        <w:shd w:val="clear"/>
        <w:spacing w:line="245" w:lineRule="auto"/>
        <w:rPr>
          <w:rFonts w:hint="eastAsia" w:ascii="仿宋" w:hAnsi="仿宋" w:eastAsia="仿宋" w:cs="仿宋"/>
          <w:color w:val="auto"/>
          <w:highlight w:val="none"/>
        </w:rPr>
      </w:pPr>
    </w:p>
    <w:p w14:paraId="0BE8B8BC">
      <w:pPr>
        <w:pStyle w:val="3"/>
        <w:shd w:val="clear"/>
        <w:spacing w:line="245" w:lineRule="auto"/>
        <w:rPr>
          <w:rFonts w:hint="eastAsia" w:ascii="仿宋" w:hAnsi="仿宋" w:eastAsia="仿宋" w:cs="仿宋"/>
          <w:color w:val="auto"/>
          <w:highlight w:val="none"/>
        </w:rPr>
      </w:pPr>
    </w:p>
    <w:p w14:paraId="3A34D5F6">
      <w:pPr>
        <w:pStyle w:val="3"/>
        <w:shd w:val="clear"/>
        <w:spacing w:line="245" w:lineRule="auto"/>
        <w:rPr>
          <w:rFonts w:hint="eastAsia" w:ascii="仿宋" w:hAnsi="仿宋" w:eastAsia="仿宋" w:cs="仿宋"/>
          <w:color w:val="auto"/>
          <w:highlight w:val="none"/>
        </w:rPr>
      </w:pPr>
    </w:p>
    <w:p w14:paraId="7AF76FE9">
      <w:pPr>
        <w:pStyle w:val="3"/>
        <w:shd w:val="clear"/>
        <w:spacing w:line="245" w:lineRule="auto"/>
        <w:rPr>
          <w:rFonts w:hint="eastAsia" w:ascii="仿宋" w:hAnsi="仿宋" w:eastAsia="仿宋" w:cs="仿宋"/>
          <w:color w:val="auto"/>
          <w:highlight w:val="none"/>
        </w:rPr>
      </w:pPr>
    </w:p>
    <w:p w14:paraId="48EDA0D8">
      <w:pPr>
        <w:pStyle w:val="3"/>
        <w:shd w:val="clear"/>
        <w:spacing w:line="245" w:lineRule="auto"/>
        <w:rPr>
          <w:rFonts w:hint="eastAsia" w:ascii="仿宋" w:hAnsi="仿宋" w:eastAsia="仿宋" w:cs="仿宋"/>
          <w:color w:val="auto"/>
          <w:highlight w:val="none"/>
        </w:rPr>
      </w:pPr>
    </w:p>
    <w:p w14:paraId="1A2B251D">
      <w:pPr>
        <w:pStyle w:val="3"/>
        <w:shd w:val="clear"/>
        <w:spacing w:line="245" w:lineRule="auto"/>
        <w:rPr>
          <w:rFonts w:hint="eastAsia" w:ascii="仿宋" w:hAnsi="仿宋" w:eastAsia="仿宋" w:cs="仿宋"/>
          <w:color w:val="auto"/>
          <w:highlight w:val="none"/>
        </w:rPr>
      </w:pPr>
    </w:p>
    <w:p w14:paraId="29D7820C">
      <w:pPr>
        <w:pStyle w:val="3"/>
        <w:shd w:val="clear"/>
        <w:spacing w:line="245" w:lineRule="auto"/>
        <w:rPr>
          <w:rFonts w:hint="eastAsia" w:ascii="仿宋" w:hAnsi="仿宋" w:eastAsia="仿宋" w:cs="仿宋"/>
          <w:color w:val="auto"/>
          <w:highlight w:val="none"/>
        </w:rPr>
      </w:pPr>
    </w:p>
    <w:p w14:paraId="43DB94B4">
      <w:pPr>
        <w:pStyle w:val="3"/>
        <w:shd w:val="clear"/>
        <w:spacing w:line="246" w:lineRule="auto"/>
        <w:rPr>
          <w:rFonts w:hint="eastAsia" w:ascii="仿宋" w:hAnsi="仿宋" w:eastAsia="仿宋" w:cs="仿宋"/>
          <w:color w:val="auto"/>
          <w:highlight w:val="none"/>
        </w:rPr>
      </w:pPr>
    </w:p>
    <w:p w14:paraId="50C1093C">
      <w:pPr>
        <w:pStyle w:val="3"/>
        <w:shd w:val="clear"/>
        <w:spacing w:line="246" w:lineRule="auto"/>
        <w:rPr>
          <w:rFonts w:hint="eastAsia" w:ascii="仿宋" w:hAnsi="仿宋" w:eastAsia="仿宋" w:cs="仿宋"/>
          <w:color w:val="auto"/>
          <w:highlight w:val="none"/>
        </w:rPr>
      </w:pPr>
    </w:p>
    <w:p w14:paraId="08F99808">
      <w:pPr>
        <w:pStyle w:val="3"/>
        <w:shd w:val="clear"/>
        <w:spacing w:line="246" w:lineRule="auto"/>
        <w:rPr>
          <w:rFonts w:hint="eastAsia" w:ascii="仿宋" w:hAnsi="仿宋" w:eastAsia="仿宋" w:cs="仿宋"/>
          <w:color w:val="auto"/>
          <w:highlight w:val="none"/>
        </w:rPr>
      </w:pPr>
    </w:p>
    <w:p w14:paraId="6231DEAC">
      <w:pPr>
        <w:pStyle w:val="3"/>
        <w:shd w:val="clear"/>
        <w:spacing w:line="285" w:lineRule="auto"/>
        <w:rPr>
          <w:rFonts w:hint="eastAsia" w:ascii="仿宋" w:hAnsi="仿宋" w:eastAsia="仿宋" w:cs="仿宋"/>
          <w:color w:val="auto"/>
          <w:highlight w:val="none"/>
        </w:rPr>
      </w:pPr>
    </w:p>
    <w:p w14:paraId="6DE1A286">
      <w:pPr>
        <w:pStyle w:val="3"/>
        <w:shd w:val="clear"/>
        <w:spacing w:line="286" w:lineRule="auto"/>
        <w:rPr>
          <w:rFonts w:hint="eastAsia" w:ascii="仿宋" w:hAnsi="仿宋" w:eastAsia="仿宋" w:cs="仿宋"/>
          <w:color w:val="auto"/>
          <w:highlight w:val="none"/>
        </w:rPr>
      </w:pPr>
    </w:p>
    <w:p w14:paraId="7A37FD0E">
      <w:pPr>
        <w:shd w:val="clear"/>
        <w:spacing w:before="78" w:line="353" w:lineRule="auto"/>
        <w:ind w:left="37" w:firstLine="3"/>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r>
        <w:rPr>
          <w:rFonts w:hint="eastAsia" w:ascii="仿宋" w:hAnsi="仿宋" w:eastAsia="仿宋" w:cs="仿宋"/>
          <w:color w:val="auto"/>
          <w:spacing w:val="2"/>
          <w:sz w:val="24"/>
          <w:szCs w:val="24"/>
          <w:highlight w:val="none"/>
        </w:rPr>
        <w:t>提供有效的供应商营业执照（或事业单位法人登记证书）和税务登记证的</w:t>
      </w:r>
      <w:r>
        <w:rPr>
          <w:rFonts w:hint="eastAsia" w:ascii="仿宋" w:hAnsi="仿宋" w:eastAsia="仿宋" w:cs="仿宋"/>
          <w:color w:val="auto"/>
          <w:spacing w:val="2"/>
          <w:sz w:val="24"/>
          <w:szCs w:val="24"/>
          <w:highlight w:val="none"/>
          <w:lang w:val="en-US" w:eastAsia="zh-CN"/>
        </w:rPr>
        <w:t>复印件加盖公章</w:t>
      </w:r>
      <w:r>
        <w:rPr>
          <w:rFonts w:hint="eastAsia" w:ascii="仿宋" w:hAnsi="仿宋" w:eastAsia="仿宋" w:cs="仿宋"/>
          <w:color w:val="auto"/>
          <w:spacing w:val="-2"/>
          <w:sz w:val="24"/>
          <w:szCs w:val="24"/>
          <w:highlight w:val="none"/>
        </w:rPr>
        <w:t>，应完整的体现出营业执照（或事业单位法人登记证书）和税务登记证的全部内容。</w:t>
      </w:r>
      <w:r>
        <w:rPr>
          <w:rFonts w:hint="eastAsia" w:ascii="仿宋" w:hAnsi="仿宋" w:eastAsia="仿宋" w:cs="仿宋"/>
          <w:color w:val="auto"/>
          <w:spacing w:val="1"/>
          <w:sz w:val="24"/>
          <w:szCs w:val="24"/>
          <w:highlight w:val="none"/>
        </w:rPr>
        <w:t>已办理“三证合一”登记的，响应文件中提供营业执照（或事业单位法人登记证书）</w:t>
      </w:r>
      <w:r>
        <w:rPr>
          <w:rFonts w:hint="eastAsia" w:ascii="仿宋" w:hAnsi="仿宋" w:eastAsia="仿宋" w:cs="仿宋"/>
          <w:color w:val="auto"/>
          <w:spacing w:val="2"/>
          <w:sz w:val="24"/>
          <w:szCs w:val="24"/>
          <w:highlight w:val="none"/>
          <w:lang w:val="en-US" w:eastAsia="zh-CN"/>
        </w:rPr>
        <w:t>复印件加盖公章即可</w:t>
      </w:r>
      <w:r>
        <w:rPr>
          <w:rFonts w:hint="eastAsia" w:ascii="仿宋" w:hAnsi="仿宋" w:eastAsia="仿宋" w:cs="仿宋"/>
          <w:color w:val="auto"/>
          <w:spacing w:val="-6"/>
          <w:sz w:val="24"/>
          <w:szCs w:val="24"/>
          <w:highlight w:val="none"/>
        </w:rPr>
        <w:t>。</w:t>
      </w:r>
    </w:p>
    <w:p w14:paraId="2E65E6FA">
      <w:pPr>
        <w:shd w:val="clear"/>
        <w:spacing w:line="353" w:lineRule="auto"/>
        <w:rPr>
          <w:rFonts w:hint="eastAsia" w:ascii="仿宋" w:hAnsi="仿宋" w:eastAsia="仿宋" w:cs="仿宋"/>
          <w:color w:val="auto"/>
          <w:sz w:val="24"/>
          <w:szCs w:val="24"/>
          <w:highlight w:val="none"/>
        </w:rPr>
        <w:sectPr>
          <w:footerReference r:id="rId9" w:type="default"/>
          <w:pgSz w:w="11906" w:h="16839"/>
          <w:pgMar w:top="1440" w:right="1080" w:bottom="1440" w:left="1080" w:header="864" w:footer="924" w:gutter="0"/>
          <w:cols w:space="0" w:num="1"/>
          <w:rtlGutter w:val="0"/>
          <w:docGrid w:linePitch="0" w:charSpace="0"/>
        </w:sectPr>
      </w:pPr>
    </w:p>
    <w:p w14:paraId="7D404682">
      <w:pPr>
        <w:pStyle w:val="3"/>
        <w:shd w:val="clear"/>
        <w:spacing w:line="248" w:lineRule="auto"/>
        <w:rPr>
          <w:rFonts w:hint="eastAsia" w:ascii="仿宋" w:hAnsi="仿宋" w:eastAsia="仿宋" w:cs="仿宋"/>
          <w:color w:val="auto"/>
          <w:highlight w:val="none"/>
        </w:rPr>
      </w:pPr>
    </w:p>
    <w:p w14:paraId="757E2750">
      <w:pPr>
        <w:shd w:val="clear"/>
        <w:spacing w:before="91" w:line="219" w:lineRule="auto"/>
        <w:ind w:left="3550"/>
        <w:outlineLvl w:val="1"/>
        <w:rPr>
          <w:rFonts w:hint="eastAsia" w:ascii="仿宋" w:hAnsi="仿宋" w:eastAsia="仿宋" w:cs="仿宋"/>
          <w:color w:val="auto"/>
          <w:sz w:val="28"/>
          <w:szCs w:val="28"/>
          <w:highlight w:val="none"/>
        </w:rPr>
      </w:pPr>
      <w:bookmarkStart w:id="46" w:name="bookmark33"/>
      <w:bookmarkEnd w:id="46"/>
      <w:bookmarkStart w:id="47" w:name="_Toc23804"/>
      <w:r>
        <w:rPr>
          <w:rFonts w:hint="eastAsia" w:ascii="仿宋" w:hAnsi="仿宋" w:eastAsia="仿宋" w:cs="仿宋"/>
          <w:b/>
          <w:bCs/>
          <w:color w:val="auto"/>
          <w:spacing w:val="-5"/>
          <w:sz w:val="28"/>
          <w:szCs w:val="28"/>
          <w:highlight w:val="none"/>
        </w:rPr>
        <w:t>二、响应授权书</w:t>
      </w:r>
      <w:bookmarkEnd w:id="47"/>
    </w:p>
    <w:p w14:paraId="73B3B114">
      <w:pPr>
        <w:pStyle w:val="3"/>
        <w:shd w:val="clear"/>
        <w:spacing w:line="305" w:lineRule="auto"/>
        <w:rPr>
          <w:rFonts w:hint="eastAsia" w:ascii="仿宋" w:hAnsi="仿宋" w:eastAsia="仿宋" w:cs="仿宋"/>
          <w:color w:val="auto"/>
          <w:highlight w:val="none"/>
        </w:rPr>
      </w:pPr>
    </w:p>
    <w:p w14:paraId="6EE9C0F2">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u w:val="single"/>
          <w:lang w:eastAsia="zh-CN"/>
        </w:rPr>
        <w:t>（供应商名称）</w:t>
      </w:r>
      <w:r>
        <w:rPr>
          <w:rFonts w:hint="eastAsia" w:ascii="仿宋" w:hAnsi="仿宋" w:eastAsia="仿宋" w:cs="仿宋"/>
          <w:snapToGrid/>
          <w:color w:val="auto"/>
          <w:kern w:val="2"/>
          <w:sz w:val="24"/>
          <w:szCs w:val="24"/>
          <w:highlight w:val="none"/>
          <w:lang w:eastAsia="zh-CN"/>
        </w:rPr>
        <w:t>授权本公司（</w:t>
      </w:r>
      <w:r>
        <w:rPr>
          <w:rFonts w:hint="eastAsia" w:ascii="仿宋" w:hAnsi="仿宋" w:eastAsia="仿宋" w:cs="仿宋"/>
          <w:snapToGrid/>
          <w:color w:val="auto"/>
          <w:kern w:val="2"/>
          <w:sz w:val="24"/>
          <w:szCs w:val="24"/>
          <w:highlight w:val="none"/>
          <w:u w:val="single"/>
          <w:lang w:eastAsia="zh-CN"/>
        </w:rPr>
        <w:t>供应商授权代表姓名、职务）</w:t>
      </w:r>
      <w:r>
        <w:rPr>
          <w:rFonts w:hint="eastAsia" w:ascii="仿宋" w:hAnsi="仿宋" w:eastAsia="仿宋" w:cs="仿宋"/>
          <w:snapToGrid/>
          <w:color w:val="auto"/>
          <w:kern w:val="2"/>
          <w:sz w:val="24"/>
          <w:szCs w:val="24"/>
          <w:highlight w:val="none"/>
          <w:lang w:eastAsia="zh-CN"/>
        </w:rPr>
        <w:t>代表本公司参加</w:t>
      </w:r>
      <w:r>
        <w:rPr>
          <w:rFonts w:hint="eastAsia" w:ascii="仿宋" w:hAnsi="仿宋" w:eastAsia="仿宋" w:cs="仿宋"/>
          <w:snapToGrid/>
          <w:color w:val="auto"/>
          <w:kern w:val="2"/>
          <w:sz w:val="24"/>
          <w:szCs w:val="24"/>
          <w:highlight w:val="none"/>
          <w:u w:val="single"/>
          <w:lang w:val="en-US" w:eastAsia="zh-CN"/>
        </w:rPr>
        <w:t>六安城市建设投资有限公司征集第三方咨询服务机构项目</w:t>
      </w:r>
      <w:r>
        <w:rPr>
          <w:rFonts w:hint="eastAsia" w:ascii="仿宋" w:hAnsi="仿宋" w:eastAsia="仿宋" w:cs="仿宋"/>
          <w:snapToGrid/>
          <w:color w:val="auto"/>
          <w:kern w:val="2"/>
          <w:sz w:val="24"/>
          <w:szCs w:val="24"/>
          <w:highlight w:val="none"/>
          <w:lang w:eastAsia="zh-CN"/>
        </w:rPr>
        <w:t>框架协议征集活动，全权代表本公司处理征集过程的一切事宜，包括但不限于：参加征集、签订协议以及协议执行等。供应商授权代表在征集过程中所签署的一切文件和处理与之</w:t>
      </w:r>
      <w:r>
        <w:rPr>
          <w:rFonts w:hint="eastAsia" w:ascii="仿宋" w:hAnsi="仿宋" w:eastAsia="仿宋" w:cs="仿宋"/>
          <w:color w:val="auto"/>
          <w:spacing w:val="3"/>
          <w:sz w:val="24"/>
          <w:szCs w:val="24"/>
          <w:highlight w:val="none"/>
        </w:rPr>
        <w:t>有关的一切事务，本公司均予以认可并对此</w:t>
      </w:r>
      <w:r>
        <w:rPr>
          <w:rFonts w:hint="eastAsia" w:ascii="仿宋" w:hAnsi="仿宋" w:eastAsia="仿宋" w:cs="仿宋"/>
          <w:color w:val="auto"/>
          <w:spacing w:val="2"/>
          <w:sz w:val="24"/>
          <w:szCs w:val="24"/>
          <w:highlight w:val="none"/>
        </w:rPr>
        <w:t>承担责任。供应商授权代表无转委</w:t>
      </w:r>
      <w:r>
        <w:rPr>
          <w:rFonts w:hint="eastAsia" w:ascii="仿宋" w:hAnsi="仿宋" w:eastAsia="仿宋" w:cs="仿宋"/>
          <w:color w:val="auto"/>
          <w:spacing w:val="-9"/>
          <w:sz w:val="24"/>
          <w:szCs w:val="24"/>
          <w:highlight w:val="none"/>
        </w:rPr>
        <w:t>托权。</w:t>
      </w:r>
    </w:p>
    <w:p w14:paraId="0A36E852">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特此授权。</w:t>
      </w:r>
    </w:p>
    <w:p w14:paraId="5076F8DA">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本授权书自出具之日起生效。</w:t>
      </w:r>
    </w:p>
    <w:p w14:paraId="7E47027E">
      <w:pPr>
        <w:pStyle w:val="3"/>
        <w:shd w:val="clear"/>
        <w:spacing w:line="267" w:lineRule="auto"/>
        <w:rPr>
          <w:rFonts w:hint="eastAsia" w:ascii="仿宋" w:hAnsi="仿宋" w:eastAsia="仿宋" w:cs="仿宋"/>
          <w:color w:val="auto"/>
          <w:highlight w:val="none"/>
        </w:rPr>
      </w:pPr>
    </w:p>
    <w:p w14:paraId="537B8111">
      <w:pPr>
        <w:pStyle w:val="3"/>
        <w:shd w:val="clear"/>
        <w:spacing w:line="268" w:lineRule="auto"/>
        <w:rPr>
          <w:rFonts w:hint="eastAsia" w:ascii="仿宋" w:hAnsi="仿宋" w:eastAsia="仿宋" w:cs="仿宋"/>
          <w:color w:val="auto"/>
          <w:highlight w:val="none"/>
        </w:rPr>
      </w:pPr>
    </w:p>
    <w:p w14:paraId="3A6CA20F">
      <w:pPr>
        <w:shd w:val="clear"/>
        <w:spacing w:before="78" w:line="220" w:lineRule="auto"/>
        <w:ind w:left="37"/>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授权代表（或法定代表人）身份证明</w:t>
      </w:r>
      <w:r>
        <w:rPr>
          <w:rFonts w:hint="eastAsia" w:ascii="仿宋" w:hAnsi="仿宋" w:eastAsia="仿宋" w:cs="仿宋"/>
          <w:b/>
          <w:bCs/>
          <w:color w:val="auto"/>
          <w:spacing w:val="-2"/>
          <w:sz w:val="24"/>
          <w:szCs w:val="24"/>
          <w:highlight w:val="none"/>
          <w:lang w:eastAsia="zh-CN"/>
        </w:rPr>
        <w:t>复印件加盖公章</w:t>
      </w:r>
      <w:r>
        <w:rPr>
          <w:rFonts w:hint="eastAsia" w:ascii="仿宋" w:hAnsi="仿宋" w:eastAsia="仿宋" w:cs="仿宋"/>
          <w:b/>
          <w:bCs/>
          <w:color w:val="auto"/>
          <w:spacing w:val="-3"/>
          <w:sz w:val="24"/>
          <w:szCs w:val="24"/>
          <w:highlight w:val="none"/>
        </w:rPr>
        <w:t>：</w:t>
      </w:r>
    </w:p>
    <w:p w14:paraId="7D1244C3">
      <w:pPr>
        <w:pStyle w:val="3"/>
        <w:shd w:val="clear"/>
        <w:spacing w:line="249" w:lineRule="auto"/>
        <w:rPr>
          <w:rFonts w:hint="eastAsia" w:ascii="仿宋" w:hAnsi="仿宋" w:eastAsia="仿宋" w:cs="仿宋"/>
          <w:color w:val="auto"/>
          <w:highlight w:val="none"/>
        </w:rPr>
      </w:pPr>
    </w:p>
    <w:p w14:paraId="52C05960">
      <w:pPr>
        <w:pStyle w:val="3"/>
        <w:shd w:val="clear"/>
        <w:spacing w:line="250" w:lineRule="auto"/>
        <w:rPr>
          <w:rFonts w:hint="eastAsia" w:ascii="仿宋" w:hAnsi="仿宋" w:eastAsia="仿宋" w:cs="仿宋"/>
          <w:color w:val="auto"/>
          <w:highlight w:val="none"/>
        </w:rPr>
      </w:pPr>
    </w:p>
    <w:p w14:paraId="62AFA9DB">
      <w:pPr>
        <w:pStyle w:val="3"/>
        <w:shd w:val="clear"/>
        <w:spacing w:line="250" w:lineRule="auto"/>
        <w:rPr>
          <w:rFonts w:hint="eastAsia" w:ascii="仿宋" w:hAnsi="仿宋" w:eastAsia="仿宋" w:cs="仿宋"/>
          <w:color w:val="auto"/>
          <w:highlight w:val="none"/>
        </w:rPr>
      </w:pPr>
    </w:p>
    <w:p w14:paraId="40917594">
      <w:pPr>
        <w:pStyle w:val="3"/>
        <w:shd w:val="clear"/>
        <w:spacing w:line="250" w:lineRule="auto"/>
        <w:rPr>
          <w:rFonts w:hint="eastAsia" w:ascii="仿宋" w:hAnsi="仿宋" w:eastAsia="仿宋" w:cs="仿宋"/>
          <w:color w:val="auto"/>
          <w:highlight w:val="none"/>
        </w:rPr>
      </w:pPr>
    </w:p>
    <w:p w14:paraId="7CC7DCA7">
      <w:pPr>
        <w:pStyle w:val="3"/>
        <w:shd w:val="clear"/>
        <w:spacing w:line="250" w:lineRule="auto"/>
        <w:rPr>
          <w:rFonts w:hint="eastAsia" w:ascii="仿宋" w:hAnsi="仿宋" w:eastAsia="仿宋" w:cs="仿宋"/>
          <w:color w:val="auto"/>
          <w:highlight w:val="none"/>
        </w:rPr>
      </w:pPr>
    </w:p>
    <w:p w14:paraId="2F20C306">
      <w:pPr>
        <w:pStyle w:val="3"/>
        <w:shd w:val="clear"/>
        <w:spacing w:line="250" w:lineRule="auto"/>
        <w:rPr>
          <w:rFonts w:hint="eastAsia" w:ascii="仿宋" w:hAnsi="仿宋" w:eastAsia="仿宋" w:cs="仿宋"/>
          <w:color w:val="auto"/>
          <w:highlight w:val="none"/>
        </w:rPr>
      </w:pPr>
    </w:p>
    <w:p w14:paraId="18D1206E">
      <w:pPr>
        <w:shd w:val="clear"/>
        <w:spacing w:before="78" w:line="219" w:lineRule="auto"/>
        <w:ind w:left="37"/>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授权代表（或法定代表人）联系方式</w:t>
      </w:r>
      <w:r>
        <w:rPr>
          <w:rFonts w:hint="eastAsia" w:ascii="仿宋" w:hAnsi="仿宋" w:eastAsia="仿宋" w:cs="仿宋"/>
          <w:b/>
          <w:bCs/>
          <w:color w:val="auto"/>
          <w:spacing w:val="-1"/>
          <w:sz w:val="24"/>
          <w:szCs w:val="24"/>
          <w:highlight w:val="none"/>
        </w:rPr>
        <w:t>：</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2"/>
          <w:sz w:val="24"/>
          <w:szCs w:val="24"/>
          <w:highlight w:val="none"/>
        </w:rPr>
        <w:t>请填写手机号码）</w:t>
      </w:r>
    </w:p>
    <w:p w14:paraId="46E2C1BB">
      <w:pPr>
        <w:pStyle w:val="3"/>
        <w:shd w:val="clear"/>
        <w:spacing w:line="270" w:lineRule="auto"/>
        <w:rPr>
          <w:rFonts w:hint="eastAsia" w:ascii="仿宋" w:hAnsi="仿宋" w:eastAsia="仿宋" w:cs="仿宋"/>
          <w:color w:val="auto"/>
          <w:highlight w:val="none"/>
        </w:rPr>
      </w:pPr>
    </w:p>
    <w:p w14:paraId="714B5136">
      <w:pPr>
        <w:pStyle w:val="3"/>
        <w:shd w:val="clear"/>
        <w:spacing w:line="271" w:lineRule="auto"/>
        <w:rPr>
          <w:rFonts w:hint="eastAsia" w:ascii="仿宋" w:hAnsi="仿宋" w:eastAsia="仿宋" w:cs="仿宋"/>
          <w:color w:val="auto"/>
          <w:highlight w:val="none"/>
        </w:rPr>
      </w:pPr>
    </w:p>
    <w:p w14:paraId="1FD48385">
      <w:pPr>
        <w:pStyle w:val="3"/>
        <w:shd w:val="clear"/>
        <w:spacing w:line="271" w:lineRule="auto"/>
        <w:rPr>
          <w:rFonts w:hint="eastAsia" w:ascii="仿宋" w:hAnsi="仿宋" w:eastAsia="仿宋" w:cs="仿宋"/>
          <w:color w:val="auto"/>
          <w:highlight w:val="none"/>
        </w:rPr>
      </w:pPr>
    </w:p>
    <w:p w14:paraId="465B15C0">
      <w:pPr>
        <w:pStyle w:val="3"/>
        <w:shd w:val="clear"/>
        <w:spacing w:line="271" w:lineRule="auto"/>
        <w:rPr>
          <w:rFonts w:hint="eastAsia" w:ascii="仿宋" w:hAnsi="仿宋" w:eastAsia="仿宋" w:cs="仿宋"/>
          <w:color w:val="auto"/>
          <w:highlight w:val="none"/>
        </w:rPr>
      </w:pPr>
    </w:p>
    <w:p w14:paraId="3F43568A">
      <w:pPr>
        <w:pStyle w:val="3"/>
        <w:shd w:val="clear"/>
        <w:spacing w:line="271" w:lineRule="auto"/>
        <w:rPr>
          <w:rFonts w:hint="eastAsia" w:ascii="仿宋" w:hAnsi="仿宋" w:eastAsia="仿宋" w:cs="仿宋"/>
          <w:color w:val="auto"/>
          <w:highlight w:val="none"/>
        </w:rPr>
      </w:pPr>
    </w:p>
    <w:p w14:paraId="3EE88695">
      <w:pPr>
        <w:pStyle w:val="3"/>
        <w:shd w:val="clear"/>
        <w:spacing w:line="271" w:lineRule="auto"/>
        <w:rPr>
          <w:rFonts w:hint="eastAsia" w:ascii="仿宋" w:hAnsi="仿宋" w:eastAsia="仿宋" w:cs="仿宋"/>
          <w:color w:val="auto"/>
          <w:highlight w:val="none"/>
        </w:rPr>
      </w:pPr>
    </w:p>
    <w:p w14:paraId="727481F3">
      <w:pPr>
        <w:shd w:val="clear"/>
        <w:spacing w:before="78" w:line="219" w:lineRule="auto"/>
        <w:ind w:left="38"/>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供应商（盖章）</w:t>
      </w:r>
      <w:r>
        <w:rPr>
          <w:rFonts w:hint="eastAsia" w:ascii="仿宋" w:hAnsi="仿宋" w:eastAsia="仿宋" w:cs="仿宋"/>
          <w:b/>
          <w:bCs/>
          <w:color w:val="auto"/>
          <w:spacing w:val="-3"/>
          <w:sz w:val="24"/>
          <w:szCs w:val="24"/>
          <w:highlight w:val="none"/>
        </w:rPr>
        <w:t>：</w:t>
      </w:r>
    </w:p>
    <w:p w14:paraId="46B21FAF">
      <w:pPr>
        <w:shd w:val="clear"/>
        <w:spacing w:before="275" w:line="220" w:lineRule="auto"/>
        <w:ind w:left="79"/>
        <w:rPr>
          <w:rFonts w:hint="eastAsia" w:ascii="仿宋" w:hAnsi="仿宋" w:eastAsia="仿宋" w:cs="仿宋"/>
          <w:color w:val="auto"/>
          <w:sz w:val="24"/>
          <w:szCs w:val="24"/>
          <w:highlight w:val="none"/>
        </w:rPr>
      </w:pPr>
      <w:r>
        <w:rPr>
          <w:rFonts w:hint="eastAsia" w:ascii="仿宋" w:hAnsi="仿宋" w:eastAsia="仿宋" w:cs="仿宋"/>
          <w:b/>
          <w:bCs/>
          <w:color w:val="auto"/>
          <w:spacing w:val="-18"/>
          <w:sz w:val="24"/>
          <w:szCs w:val="24"/>
          <w:highlight w:val="none"/>
        </w:rPr>
        <w:t>日期：</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年</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月</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日</w:t>
      </w:r>
    </w:p>
    <w:p w14:paraId="62A161A6">
      <w:pPr>
        <w:pStyle w:val="3"/>
        <w:shd w:val="clear"/>
        <w:spacing w:line="271" w:lineRule="auto"/>
        <w:rPr>
          <w:rFonts w:hint="eastAsia" w:ascii="仿宋" w:hAnsi="仿宋" w:eastAsia="仿宋" w:cs="仿宋"/>
          <w:color w:val="auto"/>
          <w:highlight w:val="none"/>
        </w:rPr>
      </w:pPr>
    </w:p>
    <w:p w14:paraId="524A2BC6">
      <w:pPr>
        <w:pStyle w:val="3"/>
        <w:shd w:val="clear"/>
        <w:spacing w:line="272" w:lineRule="auto"/>
        <w:rPr>
          <w:rFonts w:hint="eastAsia" w:ascii="仿宋" w:hAnsi="仿宋" w:eastAsia="仿宋" w:cs="仿宋"/>
          <w:color w:val="auto"/>
          <w:highlight w:val="none"/>
        </w:rPr>
      </w:pPr>
    </w:p>
    <w:p w14:paraId="62866B04">
      <w:pPr>
        <w:pStyle w:val="3"/>
        <w:shd w:val="clear"/>
        <w:spacing w:line="272" w:lineRule="auto"/>
        <w:rPr>
          <w:rFonts w:hint="eastAsia" w:ascii="仿宋" w:hAnsi="仿宋" w:eastAsia="仿宋" w:cs="仿宋"/>
          <w:color w:val="auto"/>
          <w:highlight w:val="none"/>
        </w:rPr>
      </w:pPr>
    </w:p>
    <w:p w14:paraId="23B73445">
      <w:pPr>
        <w:shd w:val="clear"/>
        <w:spacing w:before="79" w:line="417" w:lineRule="auto"/>
        <w:ind w:left="37" w:right="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注：本项目只允许有唯一的供应商授权代表。法定代表人参</w:t>
      </w:r>
      <w:r>
        <w:rPr>
          <w:rFonts w:hint="eastAsia" w:ascii="仿宋" w:hAnsi="仿宋" w:eastAsia="仿宋" w:cs="仿宋"/>
          <w:color w:val="auto"/>
          <w:spacing w:val="-1"/>
          <w:sz w:val="24"/>
          <w:szCs w:val="24"/>
          <w:highlight w:val="none"/>
        </w:rPr>
        <w:t>加投标的无需提供响应授</w:t>
      </w:r>
      <w:r>
        <w:rPr>
          <w:rFonts w:hint="eastAsia" w:ascii="仿宋" w:hAnsi="仿宋" w:eastAsia="仿宋" w:cs="仿宋"/>
          <w:color w:val="auto"/>
          <w:spacing w:val="-2"/>
          <w:sz w:val="24"/>
          <w:szCs w:val="24"/>
          <w:highlight w:val="none"/>
        </w:rPr>
        <w:t>权书，仅提供身份证明</w:t>
      </w:r>
      <w:r>
        <w:rPr>
          <w:rFonts w:hint="eastAsia" w:ascii="仿宋" w:hAnsi="仿宋" w:eastAsia="仿宋" w:cs="仿宋"/>
          <w:color w:val="auto"/>
          <w:spacing w:val="-2"/>
          <w:sz w:val="24"/>
          <w:szCs w:val="24"/>
          <w:highlight w:val="none"/>
          <w:lang w:eastAsia="zh-CN"/>
        </w:rPr>
        <w:t>复印件加盖公章</w:t>
      </w:r>
      <w:r>
        <w:rPr>
          <w:rFonts w:hint="eastAsia" w:ascii="仿宋" w:hAnsi="仿宋" w:eastAsia="仿宋" w:cs="仿宋"/>
          <w:color w:val="auto"/>
          <w:spacing w:val="-2"/>
          <w:sz w:val="24"/>
          <w:szCs w:val="24"/>
          <w:highlight w:val="none"/>
        </w:rPr>
        <w:t>及联系方式即可。</w:t>
      </w:r>
    </w:p>
    <w:p w14:paraId="5F9197ED">
      <w:pPr>
        <w:shd w:val="clear"/>
        <w:spacing w:line="417" w:lineRule="auto"/>
        <w:rPr>
          <w:rFonts w:hint="eastAsia" w:ascii="仿宋" w:hAnsi="仿宋" w:eastAsia="仿宋" w:cs="仿宋"/>
          <w:color w:val="auto"/>
          <w:sz w:val="24"/>
          <w:szCs w:val="24"/>
          <w:highlight w:val="none"/>
        </w:rPr>
        <w:sectPr>
          <w:footerReference r:id="rId10" w:type="default"/>
          <w:pgSz w:w="11906" w:h="16839"/>
          <w:pgMar w:top="1440" w:right="1080" w:bottom="1440" w:left="1080" w:header="864" w:footer="924" w:gutter="0"/>
          <w:cols w:space="0" w:num="1"/>
          <w:rtlGutter w:val="0"/>
          <w:docGrid w:linePitch="0" w:charSpace="0"/>
        </w:sectPr>
      </w:pPr>
    </w:p>
    <w:p w14:paraId="6CCE7E0A">
      <w:pPr>
        <w:shd w:val="clear"/>
        <w:spacing w:before="91" w:line="220" w:lineRule="auto"/>
        <w:ind w:left="1297"/>
        <w:outlineLvl w:val="1"/>
        <w:rPr>
          <w:rFonts w:hint="eastAsia" w:ascii="仿宋" w:hAnsi="仿宋" w:eastAsia="仿宋" w:cs="仿宋"/>
          <w:color w:val="auto"/>
          <w:sz w:val="28"/>
          <w:szCs w:val="28"/>
          <w:highlight w:val="none"/>
        </w:rPr>
      </w:pPr>
      <w:bookmarkStart w:id="48" w:name="bookmark35"/>
      <w:bookmarkEnd w:id="48"/>
      <w:bookmarkStart w:id="49" w:name="_Toc5597"/>
      <w:r>
        <w:rPr>
          <w:rFonts w:hint="eastAsia" w:ascii="仿宋" w:hAnsi="仿宋" w:eastAsia="仿宋" w:cs="仿宋"/>
          <w:b/>
          <w:bCs/>
          <w:color w:val="auto"/>
          <w:spacing w:val="-3"/>
          <w:sz w:val="28"/>
          <w:szCs w:val="28"/>
          <w:highlight w:val="none"/>
        </w:rPr>
        <w:t>三、无重大违法记录声明函、无不良信用记录声明函</w:t>
      </w:r>
      <w:bookmarkEnd w:id="49"/>
    </w:p>
    <w:p w14:paraId="223EDA03">
      <w:pPr>
        <w:pStyle w:val="3"/>
        <w:shd w:val="clear"/>
        <w:spacing w:line="301" w:lineRule="auto"/>
        <w:rPr>
          <w:rFonts w:hint="eastAsia" w:ascii="仿宋" w:hAnsi="仿宋" w:eastAsia="仿宋" w:cs="仿宋"/>
          <w:color w:val="auto"/>
          <w:highlight w:val="none"/>
        </w:rPr>
      </w:pPr>
    </w:p>
    <w:p w14:paraId="7E004BB0">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1.本单位郑重声明，参加</w:t>
      </w:r>
      <w:r>
        <w:rPr>
          <w:rFonts w:hint="eastAsia" w:ascii="仿宋" w:hAnsi="仿宋" w:eastAsia="仿宋" w:cs="仿宋"/>
          <w:snapToGrid/>
          <w:color w:val="auto"/>
          <w:kern w:val="2"/>
          <w:sz w:val="24"/>
          <w:szCs w:val="24"/>
          <w:highlight w:val="none"/>
          <w:lang w:val="en-US" w:eastAsia="zh-CN"/>
        </w:rPr>
        <w:t>本项目</w:t>
      </w:r>
      <w:r>
        <w:rPr>
          <w:rFonts w:hint="eastAsia" w:ascii="仿宋" w:hAnsi="仿宋" w:eastAsia="仿宋" w:cs="仿宋"/>
          <w:snapToGrid/>
          <w:color w:val="auto"/>
          <w:kern w:val="2"/>
          <w:sz w:val="24"/>
          <w:szCs w:val="24"/>
          <w:highlight w:val="none"/>
          <w:lang w:eastAsia="zh-CN"/>
        </w:rPr>
        <w:t>采购活动前三年内，本单位在经营活动中没有重大违法记录，没有因违法经营受到刑事处罚或者责令停产停业、吊销许可证或者执照、较大数额罚款等行政处罚，且未在被禁止参加采购活动的处罚期限内。</w:t>
      </w:r>
    </w:p>
    <w:p w14:paraId="646517D5">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2.本单位郑重声明，我单位无以下不良信用记录情形：</w:t>
      </w:r>
    </w:p>
    <w:p w14:paraId="457E410B">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（1）被人民法院列入失信被执行人；</w:t>
      </w:r>
    </w:p>
    <w:p w14:paraId="520A511C">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（2）被市场监督管理部门列入严重违法失信企业名录；</w:t>
      </w:r>
    </w:p>
    <w:p w14:paraId="0DCBCED8">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（3）被税务部门列入重大税收违法案件当事人名单的；</w:t>
      </w:r>
    </w:p>
    <w:p w14:paraId="4DFCA833">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（4）被采购监管部门列入采购严重违法失信行为记录名单。本单位对上述声明的真实性负责。如有虚假，将依法承担相应责任。</w:t>
      </w:r>
    </w:p>
    <w:p w14:paraId="77F839CC">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3.经我单位自行查询中国采购网（www.ccgp.gov.cn）、“信用中国”网站（www.creditchina.gov.cn）、国家企业信用信息公示系统（www.gsxt.gov.cn），我单位承诺不存在不良信用记录。</w:t>
      </w:r>
    </w:p>
    <w:p w14:paraId="42CE18F6">
      <w:pPr>
        <w:pStyle w:val="3"/>
        <w:shd w:val="clear"/>
        <w:spacing w:line="256" w:lineRule="auto"/>
        <w:rPr>
          <w:rFonts w:hint="eastAsia" w:ascii="仿宋" w:hAnsi="仿宋" w:eastAsia="仿宋" w:cs="仿宋"/>
          <w:color w:val="auto"/>
          <w:highlight w:val="none"/>
        </w:rPr>
      </w:pPr>
    </w:p>
    <w:p w14:paraId="67BBB50C">
      <w:pPr>
        <w:pStyle w:val="3"/>
        <w:shd w:val="clear"/>
        <w:spacing w:line="257" w:lineRule="auto"/>
        <w:rPr>
          <w:rFonts w:hint="eastAsia" w:ascii="仿宋" w:hAnsi="仿宋" w:eastAsia="仿宋" w:cs="仿宋"/>
          <w:color w:val="auto"/>
          <w:highlight w:val="none"/>
        </w:rPr>
      </w:pPr>
    </w:p>
    <w:p w14:paraId="515D2FB9">
      <w:pPr>
        <w:shd w:val="clear"/>
        <w:spacing w:before="78" w:line="219" w:lineRule="auto"/>
        <w:ind w:left="518"/>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供应商（盖章）</w:t>
      </w:r>
      <w:r>
        <w:rPr>
          <w:rFonts w:hint="eastAsia" w:ascii="仿宋" w:hAnsi="仿宋" w:eastAsia="仿宋" w:cs="仿宋"/>
          <w:b/>
          <w:bCs/>
          <w:color w:val="auto"/>
          <w:spacing w:val="-3"/>
          <w:sz w:val="24"/>
          <w:szCs w:val="24"/>
          <w:highlight w:val="none"/>
        </w:rPr>
        <w:t>：</w:t>
      </w:r>
    </w:p>
    <w:p w14:paraId="43103F9B">
      <w:pPr>
        <w:shd w:val="clear"/>
        <w:spacing w:before="275" w:line="220" w:lineRule="auto"/>
        <w:ind w:left="559"/>
        <w:rPr>
          <w:rFonts w:hint="eastAsia" w:ascii="仿宋" w:hAnsi="仿宋" w:eastAsia="仿宋" w:cs="仿宋"/>
          <w:color w:val="auto"/>
          <w:sz w:val="24"/>
          <w:szCs w:val="24"/>
          <w:highlight w:val="none"/>
        </w:rPr>
      </w:pPr>
      <w:r>
        <w:rPr>
          <w:rFonts w:hint="eastAsia" w:ascii="仿宋" w:hAnsi="仿宋" w:eastAsia="仿宋" w:cs="仿宋"/>
          <w:b/>
          <w:bCs/>
          <w:color w:val="auto"/>
          <w:spacing w:val="-18"/>
          <w:sz w:val="24"/>
          <w:szCs w:val="24"/>
          <w:highlight w:val="none"/>
        </w:rPr>
        <w:t>日期：</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年</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月</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日</w:t>
      </w:r>
    </w:p>
    <w:p w14:paraId="7D9C3E59">
      <w:pPr>
        <w:shd w:val="clear"/>
        <w:spacing w:line="220" w:lineRule="auto"/>
        <w:rPr>
          <w:rFonts w:hint="eastAsia" w:ascii="仿宋" w:hAnsi="仿宋" w:eastAsia="仿宋" w:cs="仿宋"/>
          <w:color w:val="auto"/>
          <w:sz w:val="24"/>
          <w:szCs w:val="24"/>
          <w:highlight w:val="none"/>
        </w:rPr>
        <w:sectPr>
          <w:footerReference r:id="rId11" w:type="default"/>
          <w:pgSz w:w="11906" w:h="16839"/>
          <w:pgMar w:top="1440" w:right="1080" w:bottom="1440" w:left="1080" w:header="864" w:footer="924" w:gutter="0"/>
          <w:cols w:space="0" w:num="1"/>
          <w:rtlGutter w:val="0"/>
          <w:docGrid w:linePitch="0" w:charSpace="0"/>
        </w:sectPr>
      </w:pPr>
    </w:p>
    <w:p w14:paraId="24D6C61C">
      <w:pPr>
        <w:shd w:val="clear"/>
        <w:spacing w:before="91" w:line="221" w:lineRule="auto"/>
        <w:ind w:left="3853"/>
        <w:rPr>
          <w:rFonts w:hint="eastAsia" w:ascii="仿宋" w:hAnsi="仿宋" w:eastAsia="仿宋" w:cs="仿宋"/>
          <w:color w:val="auto"/>
          <w:sz w:val="28"/>
          <w:szCs w:val="28"/>
          <w:highlight w:val="none"/>
        </w:rPr>
      </w:pPr>
      <w:r>
        <w:rPr>
          <w:rFonts w:hint="eastAsia" w:ascii="仿宋" w:hAnsi="仿宋" w:eastAsia="仿宋" w:cs="仿宋"/>
          <w:b/>
          <w:bCs/>
          <w:color w:val="auto"/>
          <w:spacing w:val="-10"/>
          <w:sz w:val="28"/>
          <w:szCs w:val="28"/>
          <w:highlight w:val="none"/>
        </w:rPr>
        <w:t>四、响应函</w:t>
      </w:r>
    </w:p>
    <w:p w14:paraId="5B805B3A">
      <w:pPr>
        <w:pStyle w:val="3"/>
        <w:shd w:val="clear"/>
        <w:spacing w:line="330" w:lineRule="auto"/>
        <w:rPr>
          <w:rFonts w:hint="eastAsia" w:ascii="仿宋" w:hAnsi="仿宋" w:eastAsia="仿宋" w:cs="仿宋"/>
          <w:color w:val="auto"/>
          <w:highlight w:val="none"/>
        </w:rPr>
      </w:pPr>
    </w:p>
    <w:p w14:paraId="61129E5D">
      <w:pPr>
        <w:shd w:val="clear"/>
        <w:spacing w:before="78" w:line="219" w:lineRule="auto"/>
        <w:ind w:left="38"/>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致：</w:t>
      </w:r>
      <w:r>
        <w:rPr>
          <w:rFonts w:hint="eastAsia" w:ascii="仿宋" w:hAnsi="仿宋" w:eastAsia="仿宋" w:cs="仿宋"/>
          <w:color w:val="auto"/>
          <w:spacing w:val="-3"/>
          <w:sz w:val="24"/>
          <w:szCs w:val="24"/>
          <w:highlight w:val="none"/>
          <w:lang w:val="en-US" w:eastAsia="zh-CN"/>
        </w:rPr>
        <w:t>六安城市建设投资有限公司</w:t>
      </w:r>
    </w:p>
    <w:p w14:paraId="60B90A80">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根据贵方的征集公告和征集邀请，我方兹宣布同意如下：</w:t>
      </w:r>
    </w:p>
    <w:p w14:paraId="148B7D48">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1.我方根据本征集项目的详细说明和要求的规定，严格履行合同的责任和义务,并保证于买方要求的日期内完成履约，并</w:t>
      </w:r>
      <w:r>
        <w:rPr>
          <w:rFonts w:hint="eastAsia" w:ascii="仿宋" w:hAnsi="仿宋" w:eastAsia="仿宋" w:cs="仿宋"/>
          <w:snapToGrid/>
          <w:color w:val="auto"/>
          <w:kern w:val="2"/>
          <w:sz w:val="24"/>
          <w:szCs w:val="24"/>
          <w:highlight w:val="none"/>
          <w:lang w:val="en-US" w:eastAsia="zh-CN"/>
        </w:rPr>
        <w:t>接受征集人或其指定部门考核</w:t>
      </w:r>
      <w:r>
        <w:rPr>
          <w:rFonts w:hint="eastAsia" w:ascii="仿宋" w:hAnsi="仿宋" w:eastAsia="仿宋" w:cs="仿宋"/>
          <w:snapToGrid/>
          <w:color w:val="auto"/>
          <w:kern w:val="2"/>
          <w:sz w:val="24"/>
          <w:szCs w:val="24"/>
          <w:highlight w:val="none"/>
          <w:lang w:eastAsia="zh-CN"/>
        </w:rPr>
        <w:t>。</w:t>
      </w:r>
    </w:p>
    <w:p w14:paraId="1CC7C296">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val="en-US" w:eastAsia="zh-CN"/>
        </w:rPr>
        <w:t>2</w:t>
      </w:r>
      <w:r>
        <w:rPr>
          <w:rFonts w:hint="eastAsia" w:ascii="仿宋" w:hAnsi="仿宋" w:eastAsia="仿宋" w:cs="仿宋"/>
          <w:snapToGrid/>
          <w:color w:val="auto"/>
          <w:kern w:val="2"/>
          <w:sz w:val="24"/>
          <w:szCs w:val="24"/>
          <w:highlight w:val="none"/>
          <w:lang w:eastAsia="zh-CN"/>
        </w:rPr>
        <w:t>.我方已详细审核全部征集项目的详细说明和要求，包括本征集项目的详细说明和要求的澄清或修改（如有），参考资料及有关附件，我方正式认可并遵守本次征集项目的详细说明和要求，并对此项目各项条款、规定及要求均无异议。我方知道必须放弃提出含糊不清或误解问题的权利。</w:t>
      </w:r>
    </w:p>
    <w:p w14:paraId="4D183F63">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val="en-US" w:eastAsia="zh-CN"/>
        </w:rPr>
        <w:t>3</w:t>
      </w:r>
      <w:r>
        <w:rPr>
          <w:rFonts w:hint="eastAsia" w:ascii="仿宋" w:hAnsi="仿宋" w:eastAsia="仿宋" w:cs="仿宋"/>
          <w:snapToGrid/>
          <w:color w:val="auto"/>
          <w:kern w:val="2"/>
          <w:sz w:val="24"/>
          <w:szCs w:val="24"/>
          <w:highlight w:val="none"/>
          <w:lang w:eastAsia="zh-CN"/>
        </w:rPr>
        <w:t>.我方同意从本征集项目的详细说明和要求规定的响应文件开启日期起遵循本文件，并在本文件规定的响应文件有效期之前均具有约束力。</w:t>
      </w:r>
    </w:p>
    <w:p w14:paraId="1EF22D32">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val="en-US" w:eastAsia="zh-CN"/>
        </w:rPr>
        <w:t>4</w:t>
      </w:r>
      <w:r>
        <w:rPr>
          <w:rFonts w:hint="eastAsia" w:ascii="仿宋" w:hAnsi="仿宋" w:eastAsia="仿宋" w:cs="仿宋"/>
          <w:snapToGrid/>
          <w:color w:val="auto"/>
          <w:kern w:val="2"/>
          <w:sz w:val="24"/>
          <w:szCs w:val="24"/>
          <w:highlight w:val="none"/>
          <w:lang w:eastAsia="zh-CN"/>
        </w:rPr>
        <w:t>.我方声明响应文件所提供的一切资料均真实无误、及时、有效，企业运营正常。由于我方提供资料不实而造成的责任和后果由我方承担。我方同意按照贵方提出的要求，提供与申请有关的任何证据、数据或资料。</w:t>
      </w:r>
    </w:p>
    <w:p w14:paraId="450F547D">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val="en-US" w:eastAsia="zh-CN"/>
        </w:rPr>
        <w:t>5</w:t>
      </w:r>
      <w:r>
        <w:rPr>
          <w:rFonts w:hint="eastAsia" w:ascii="仿宋" w:hAnsi="仿宋" w:eastAsia="仿宋" w:cs="仿宋"/>
          <w:snapToGrid/>
          <w:color w:val="auto"/>
          <w:kern w:val="2"/>
          <w:sz w:val="24"/>
          <w:szCs w:val="24"/>
          <w:highlight w:val="none"/>
          <w:lang w:eastAsia="zh-CN"/>
        </w:rPr>
        <w:t>.我方接受本征集项目的详细说明和要求规定的采购需求、费用结算及支付方式、用户反馈和评价机制、入围供应商的清退机制等相关要求。</w:t>
      </w:r>
    </w:p>
    <w:p w14:paraId="105ABC57">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val="en-US" w:eastAsia="zh-CN"/>
        </w:rPr>
        <w:t>6</w:t>
      </w:r>
      <w:r>
        <w:rPr>
          <w:rFonts w:hint="eastAsia" w:ascii="仿宋" w:hAnsi="仿宋" w:eastAsia="仿宋" w:cs="仿宋"/>
          <w:snapToGrid/>
          <w:color w:val="auto"/>
          <w:kern w:val="2"/>
          <w:sz w:val="24"/>
          <w:szCs w:val="24"/>
          <w:highlight w:val="none"/>
          <w:lang w:eastAsia="zh-CN"/>
        </w:rPr>
        <w:t>.我方愿意按照征集文件规定的各项要求，向采购方提供所需的服务。</w:t>
      </w:r>
    </w:p>
    <w:p w14:paraId="5E942489">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val="en-US" w:eastAsia="zh-CN"/>
        </w:rPr>
        <w:t>7</w:t>
      </w:r>
      <w:r>
        <w:rPr>
          <w:rFonts w:hint="eastAsia" w:ascii="仿宋" w:hAnsi="仿宋" w:eastAsia="仿宋" w:cs="仿宋"/>
          <w:snapToGrid/>
          <w:color w:val="auto"/>
          <w:kern w:val="2"/>
          <w:sz w:val="24"/>
          <w:szCs w:val="24"/>
          <w:highlight w:val="none"/>
          <w:lang w:eastAsia="zh-CN"/>
        </w:rPr>
        <w:t>.我方承诺不会出现以下情形：</w:t>
      </w:r>
    </w:p>
    <w:p w14:paraId="40362DCA">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（1）未按照征集项目的详细说明和要求确定的事项进行履约；</w:t>
      </w:r>
    </w:p>
    <w:p w14:paraId="13292786">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（2）将采购合同转包；</w:t>
      </w:r>
    </w:p>
    <w:p w14:paraId="16F12156">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（3）提供假冒伪劣产品；</w:t>
      </w:r>
    </w:p>
    <w:p w14:paraId="0D05D308">
      <w:pPr>
        <w:pStyle w:val="7"/>
        <w:widowControl w:val="0"/>
        <w:shd w:val="clear" w:color="auto"/>
        <w:kinsoku/>
        <w:autoSpaceDE/>
        <w:autoSpaceDN/>
        <w:adjustRightInd/>
        <w:snapToGrid w:val="0"/>
        <w:spacing w:line="560" w:lineRule="exact"/>
        <w:ind w:firstLine="600" w:firstLineChars="250"/>
        <w:jc w:val="left"/>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（4）擅自变更、中止或者终止框架协议。</w:t>
      </w:r>
    </w:p>
    <w:p w14:paraId="51AE6911">
      <w:pPr>
        <w:pStyle w:val="3"/>
        <w:shd w:val="clear"/>
        <w:spacing w:line="263" w:lineRule="auto"/>
        <w:rPr>
          <w:rFonts w:hint="eastAsia" w:ascii="仿宋" w:hAnsi="仿宋" w:eastAsia="仿宋" w:cs="仿宋"/>
          <w:color w:val="auto"/>
          <w:highlight w:val="none"/>
        </w:rPr>
      </w:pPr>
    </w:p>
    <w:p w14:paraId="742A9650">
      <w:pPr>
        <w:shd w:val="clear"/>
        <w:spacing w:before="78" w:line="219" w:lineRule="auto"/>
        <w:ind w:left="518"/>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供应商（盖章）</w:t>
      </w:r>
      <w:r>
        <w:rPr>
          <w:rFonts w:hint="eastAsia" w:ascii="仿宋" w:hAnsi="仿宋" w:eastAsia="仿宋" w:cs="仿宋"/>
          <w:b/>
          <w:bCs/>
          <w:color w:val="auto"/>
          <w:spacing w:val="-3"/>
          <w:sz w:val="24"/>
          <w:szCs w:val="24"/>
          <w:highlight w:val="none"/>
        </w:rPr>
        <w:t>：</w:t>
      </w:r>
    </w:p>
    <w:p w14:paraId="2E947C8D">
      <w:pPr>
        <w:shd w:val="clear"/>
        <w:spacing w:before="314" w:line="220" w:lineRule="auto"/>
        <w:ind w:left="559"/>
        <w:rPr>
          <w:rFonts w:hint="eastAsia" w:ascii="仿宋" w:hAnsi="仿宋" w:eastAsia="仿宋" w:cs="仿宋"/>
          <w:color w:val="auto"/>
          <w:sz w:val="24"/>
          <w:szCs w:val="24"/>
          <w:highlight w:val="none"/>
        </w:rPr>
      </w:pPr>
      <w:r>
        <w:rPr>
          <w:rFonts w:hint="eastAsia" w:ascii="仿宋" w:hAnsi="仿宋" w:eastAsia="仿宋" w:cs="仿宋"/>
          <w:b/>
          <w:bCs/>
          <w:color w:val="auto"/>
          <w:spacing w:val="-18"/>
          <w:sz w:val="24"/>
          <w:szCs w:val="24"/>
          <w:highlight w:val="none"/>
        </w:rPr>
        <w:t>日期：</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年</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月</w:t>
      </w:r>
      <w:r>
        <w:rPr>
          <w:rFonts w:hint="eastAsia" w:ascii="仿宋" w:hAnsi="仿宋" w:eastAsia="仿宋" w:cs="仿宋"/>
          <w:b/>
          <w:bCs/>
          <w:color w:val="auto"/>
          <w:spacing w:val="-18"/>
          <w:sz w:val="24"/>
          <w:szCs w:val="24"/>
          <w:highlight w:val="none"/>
          <w:lang w:val="en-US" w:eastAsia="zh-CN"/>
        </w:rPr>
        <w:t xml:space="preserve">  </w:t>
      </w:r>
      <w:r>
        <w:rPr>
          <w:rFonts w:hint="eastAsia" w:ascii="仿宋" w:hAnsi="仿宋" w:eastAsia="仿宋" w:cs="仿宋"/>
          <w:b/>
          <w:bCs/>
          <w:color w:val="auto"/>
          <w:spacing w:val="-18"/>
          <w:sz w:val="24"/>
          <w:szCs w:val="24"/>
          <w:highlight w:val="none"/>
        </w:rPr>
        <w:t>日</w:t>
      </w:r>
    </w:p>
    <w:p w14:paraId="30245E04">
      <w:pPr>
        <w:shd w:val="clear"/>
        <w:spacing w:line="220" w:lineRule="auto"/>
        <w:rPr>
          <w:rFonts w:hint="eastAsia" w:ascii="仿宋" w:hAnsi="仿宋" w:eastAsia="仿宋" w:cs="仿宋"/>
          <w:color w:val="auto"/>
          <w:sz w:val="24"/>
          <w:szCs w:val="24"/>
          <w:highlight w:val="none"/>
        </w:rPr>
        <w:sectPr>
          <w:headerReference r:id="rId12" w:type="default"/>
          <w:footerReference r:id="rId13" w:type="default"/>
          <w:pgSz w:w="11906" w:h="16839"/>
          <w:pgMar w:top="1440" w:right="1080" w:bottom="1440" w:left="1080" w:header="864" w:footer="924" w:gutter="0"/>
          <w:cols w:space="0" w:num="1"/>
          <w:rtlGutter w:val="0"/>
          <w:docGrid w:linePitch="0" w:charSpace="0"/>
        </w:sectPr>
      </w:pPr>
    </w:p>
    <w:p w14:paraId="3A59C7D4">
      <w:pPr>
        <w:pStyle w:val="3"/>
        <w:shd w:val="clear"/>
        <w:spacing w:line="343" w:lineRule="auto"/>
        <w:rPr>
          <w:rFonts w:hint="eastAsia" w:ascii="仿宋" w:hAnsi="仿宋" w:eastAsia="仿宋" w:cs="仿宋"/>
          <w:color w:val="auto"/>
          <w:highlight w:val="none"/>
        </w:rPr>
      </w:pPr>
    </w:p>
    <w:p w14:paraId="0982204E">
      <w:pPr>
        <w:shd w:val="clear"/>
        <w:spacing w:before="91" w:line="219" w:lineRule="auto"/>
        <w:ind w:left="2988"/>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4"/>
          <w:sz w:val="28"/>
          <w:szCs w:val="28"/>
          <w:highlight w:val="none"/>
        </w:rPr>
        <w:t>五、供应商资格</w:t>
      </w:r>
      <w:r>
        <w:rPr>
          <w:rFonts w:hint="eastAsia" w:ascii="仿宋" w:hAnsi="仿宋" w:eastAsia="仿宋" w:cs="仿宋"/>
          <w:b/>
          <w:bCs/>
          <w:color w:val="auto"/>
          <w:spacing w:val="-4"/>
          <w:sz w:val="28"/>
          <w:szCs w:val="28"/>
          <w:highlight w:val="none"/>
          <w:lang w:val="en-US" w:eastAsia="zh-CN"/>
        </w:rPr>
        <w:t>承诺函</w:t>
      </w:r>
    </w:p>
    <w:p w14:paraId="164D321D">
      <w:pPr>
        <w:pStyle w:val="3"/>
        <w:shd w:val="clear"/>
        <w:spacing w:line="310" w:lineRule="auto"/>
        <w:rPr>
          <w:rFonts w:hint="eastAsia" w:ascii="仿宋" w:hAnsi="仿宋" w:eastAsia="仿宋" w:cs="仿宋"/>
          <w:color w:val="auto"/>
          <w:highlight w:val="none"/>
        </w:rPr>
      </w:pPr>
    </w:p>
    <w:p w14:paraId="63D98BFF">
      <w:pPr>
        <w:pStyle w:val="3"/>
        <w:shd w:val="clear"/>
        <w:spacing w:line="311" w:lineRule="auto"/>
        <w:rPr>
          <w:rFonts w:hint="eastAsia" w:ascii="仿宋" w:hAnsi="仿宋" w:eastAsia="仿宋" w:cs="仿宋"/>
          <w:color w:val="auto"/>
          <w:highlight w:val="none"/>
        </w:rPr>
      </w:pPr>
    </w:p>
    <w:p w14:paraId="03B4A7E4">
      <w:pPr>
        <w:shd w:val="clear"/>
        <w:tabs>
          <w:tab w:val="left" w:pos="840"/>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我公司承诺：</w:t>
      </w:r>
    </w:p>
    <w:p w14:paraId="6535CB73">
      <w:pPr>
        <w:shd w:val="clear"/>
        <w:tabs>
          <w:tab w:val="left" w:pos="84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(一)具有独立承担民事责任的能力；</w:t>
      </w:r>
    </w:p>
    <w:p w14:paraId="30E91814">
      <w:pPr>
        <w:shd w:val="clear"/>
        <w:tabs>
          <w:tab w:val="left" w:pos="84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(二)具有良好的商业信誉和健全的财务会计制度；</w:t>
      </w:r>
    </w:p>
    <w:p w14:paraId="41D87E59">
      <w:pPr>
        <w:shd w:val="clear"/>
        <w:tabs>
          <w:tab w:val="left" w:pos="84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(三)具有履行合同所必需的设备和专业技术能力；</w:t>
      </w:r>
    </w:p>
    <w:p w14:paraId="36AF3C77">
      <w:pPr>
        <w:shd w:val="clear"/>
        <w:tabs>
          <w:tab w:val="left" w:pos="84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(四)有依法缴纳税收和社会保障资金的良好记录；</w:t>
      </w:r>
    </w:p>
    <w:p w14:paraId="774FDC4F">
      <w:pPr>
        <w:shd w:val="clear"/>
        <w:tabs>
          <w:tab w:val="left" w:pos="84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(五)法律、行政法规规定的其他条件。</w:t>
      </w:r>
    </w:p>
    <w:p w14:paraId="2FE4A8F8">
      <w:pPr>
        <w:shd w:val="clear"/>
        <w:tabs>
          <w:tab w:val="left" w:pos="840"/>
        </w:tabs>
        <w:spacing w:line="360" w:lineRule="auto"/>
        <w:ind w:firstLine="480"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4"/>
          <w:szCs w:val="24"/>
          <w:highlight w:val="none"/>
          <w:lang w:val="en-US" w:eastAsia="zh-CN"/>
        </w:rPr>
        <w:t>如有虚假信息，自愿接受一切后果，包括取消成交资格，并承担相应的法律责任等。</w:t>
      </w:r>
    </w:p>
    <w:p w14:paraId="1A411F21">
      <w:pPr>
        <w:shd w:val="clear"/>
        <w:spacing w:line="360" w:lineRule="auto"/>
        <w:ind w:firstLine="5428" w:firstLineChars="2262"/>
        <w:rPr>
          <w:rFonts w:hint="eastAsia" w:ascii="仿宋" w:hAnsi="仿宋" w:eastAsia="仿宋" w:cs="仿宋"/>
          <w:bCs/>
          <w:color w:val="auto"/>
          <w:sz w:val="24"/>
          <w:szCs w:val="24"/>
          <w:highlight w:val="none"/>
        </w:rPr>
      </w:pPr>
    </w:p>
    <w:p w14:paraId="7FFD5032">
      <w:pPr>
        <w:shd w:val="clear"/>
        <w:spacing w:line="360" w:lineRule="auto"/>
        <w:ind w:firstLine="5428" w:firstLineChars="2262"/>
        <w:rPr>
          <w:rFonts w:hint="eastAsia" w:ascii="仿宋" w:hAnsi="仿宋" w:eastAsia="仿宋" w:cs="仿宋"/>
          <w:bCs/>
          <w:color w:val="auto"/>
          <w:sz w:val="24"/>
          <w:szCs w:val="24"/>
          <w:highlight w:val="none"/>
        </w:rPr>
      </w:pPr>
    </w:p>
    <w:p w14:paraId="16C9A7CF">
      <w:pPr>
        <w:shd w:val="clear"/>
        <w:spacing w:line="360" w:lineRule="auto"/>
        <w:ind w:firstLine="5209" w:firstLineChars="2162"/>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供应商</w:t>
      </w:r>
      <w:r>
        <w:rPr>
          <w:rFonts w:hint="eastAsia" w:ascii="仿宋" w:hAnsi="仿宋" w:eastAsia="仿宋" w:cs="仿宋"/>
          <w:b/>
          <w:bCs/>
          <w:color w:val="auto"/>
          <w:sz w:val="24"/>
          <w:szCs w:val="24"/>
          <w:highlight w:val="none"/>
          <w:lang w:eastAsia="zh-CN"/>
        </w:rPr>
        <w:t>（盖公章）</w:t>
      </w:r>
      <w:r>
        <w:rPr>
          <w:rFonts w:hint="eastAsia" w:ascii="仿宋" w:hAnsi="仿宋" w:eastAsia="仿宋" w:cs="仿宋"/>
          <w:b/>
          <w:bCs/>
          <w:color w:val="auto"/>
          <w:sz w:val="24"/>
          <w:szCs w:val="24"/>
          <w:highlight w:val="none"/>
        </w:rPr>
        <w:t>：</w:t>
      </w:r>
    </w:p>
    <w:p w14:paraId="776C4EA2">
      <w:pPr>
        <w:shd w:val="clear"/>
        <w:tabs>
          <w:tab w:val="left" w:pos="630"/>
        </w:tabs>
        <w:spacing w:line="360" w:lineRule="auto"/>
        <w:ind w:firstLine="5209" w:firstLineChars="216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日期：</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日</w:t>
      </w:r>
    </w:p>
    <w:p w14:paraId="67238606">
      <w:pPr>
        <w:shd w:val="clear"/>
        <w:spacing w:line="220" w:lineRule="auto"/>
        <w:rPr>
          <w:rFonts w:hint="eastAsia" w:ascii="仿宋" w:hAnsi="仿宋" w:eastAsia="仿宋" w:cs="仿宋"/>
          <w:color w:val="auto"/>
          <w:sz w:val="24"/>
          <w:szCs w:val="24"/>
          <w:highlight w:val="none"/>
        </w:rPr>
        <w:sectPr>
          <w:footerReference r:id="rId14" w:type="default"/>
          <w:pgSz w:w="11906" w:h="16839"/>
          <w:pgMar w:top="1440" w:right="1080" w:bottom="1440" w:left="1080" w:header="864" w:footer="924" w:gutter="0"/>
          <w:cols w:space="0" w:num="1"/>
          <w:rtlGutter w:val="0"/>
          <w:docGrid w:linePitch="0" w:charSpace="0"/>
        </w:sectPr>
      </w:pPr>
    </w:p>
    <w:p w14:paraId="79B2B85E">
      <w:pPr>
        <w:pStyle w:val="3"/>
        <w:shd w:val="clear"/>
        <w:spacing w:line="376" w:lineRule="auto"/>
        <w:rPr>
          <w:rFonts w:hint="eastAsia" w:ascii="仿宋" w:hAnsi="仿宋" w:eastAsia="仿宋" w:cs="仿宋"/>
          <w:color w:val="auto"/>
          <w:highlight w:val="none"/>
        </w:rPr>
      </w:pPr>
    </w:p>
    <w:p w14:paraId="63EBDD16">
      <w:pPr>
        <w:shd w:val="clear"/>
        <w:spacing w:before="91" w:line="219" w:lineRule="auto"/>
        <w:ind w:left="3126"/>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六、入围评审证明材料</w:t>
      </w:r>
    </w:p>
    <w:p w14:paraId="5846848C">
      <w:pPr>
        <w:pStyle w:val="3"/>
        <w:shd w:val="clear"/>
        <w:spacing w:line="302" w:lineRule="auto"/>
        <w:rPr>
          <w:rFonts w:hint="eastAsia" w:ascii="仿宋" w:hAnsi="仿宋" w:eastAsia="仿宋" w:cs="仿宋"/>
          <w:color w:val="auto"/>
          <w:highlight w:val="none"/>
        </w:rPr>
      </w:pPr>
    </w:p>
    <w:p w14:paraId="6B15FBDB">
      <w:pPr>
        <w:shd w:val="clear"/>
        <w:spacing w:before="78" w:line="417" w:lineRule="auto"/>
        <w:ind w:left="45" w:right="28" w:firstLine="47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提供符合本征集文件第一阶段入围评审办法-评审细则中要求的各项证明材料</w:t>
      </w:r>
      <w:r>
        <w:rPr>
          <w:rFonts w:hint="eastAsia" w:ascii="仿宋" w:hAnsi="仿宋" w:eastAsia="仿宋" w:cs="仿宋"/>
          <w:color w:val="auto"/>
          <w:spacing w:val="-3"/>
          <w:sz w:val="24"/>
          <w:szCs w:val="24"/>
          <w:highlight w:val="none"/>
        </w:rPr>
        <w:t>。</w:t>
      </w:r>
    </w:p>
    <w:p w14:paraId="049003D1">
      <w:pPr>
        <w:shd w:val="clear"/>
        <w:spacing w:line="417" w:lineRule="auto"/>
        <w:rPr>
          <w:rFonts w:hint="eastAsia" w:ascii="仿宋" w:hAnsi="仿宋" w:eastAsia="仿宋" w:cs="仿宋"/>
          <w:color w:val="auto"/>
          <w:sz w:val="24"/>
          <w:szCs w:val="24"/>
          <w:highlight w:val="none"/>
        </w:rPr>
        <w:sectPr>
          <w:footerReference r:id="rId15" w:type="default"/>
          <w:pgSz w:w="11906" w:h="16839"/>
          <w:pgMar w:top="1440" w:right="1080" w:bottom="1440" w:left="1080" w:header="864" w:footer="924" w:gutter="0"/>
          <w:cols w:space="0" w:num="1"/>
          <w:rtlGutter w:val="0"/>
          <w:docGrid w:linePitch="0" w:charSpace="0"/>
        </w:sectPr>
      </w:pPr>
    </w:p>
    <w:p w14:paraId="453724E0">
      <w:pPr>
        <w:pStyle w:val="3"/>
        <w:shd w:val="clear"/>
        <w:spacing w:line="376" w:lineRule="auto"/>
        <w:rPr>
          <w:rFonts w:hint="eastAsia" w:ascii="仿宋" w:hAnsi="仿宋" w:eastAsia="仿宋" w:cs="仿宋"/>
          <w:color w:val="auto"/>
          <w:highlight w:val="none"/>
        </w:rPr>
      </w:pPr>
    </w:p>
    <w:p w14:paraId="1B64325F">
      <w:pPr>
        <w:shd w:val="clear"/>
        <w:spacing w:before="91" w:line="219" w:lineRule="auto"/>
        <w:ind w:left="3404"/>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七、其他相关材料</w:t>
      </w:r>
    </w:p>
    <w:p w14:paraId="65A1160F">
      <w:pPr>
        <w:pStyle w:val="3"/>
        <w:shd w:val="clear"/>
        <w:spacing w:line="302" w:lineRule="auto"/>
        <w:rPr>
          <w:rFonts w:hint="eastAsia" w:ascii="仿宋" w:hAnsi="仿宋" w:eastAsia="仿宋" w:cs="仿宋"/>
          <w:color w:val="auto"/>
          <w:highlight w:val="none"/>
        </w:rPr>
      </w:pPr>
    </w:p>
    <w:p w14:paraId="27D5D770">
      <w:pPr>
        <w:shd w:val="clear"/>
        <w:spacing w:before="78" w:line="219" w:lineRule="auto"/>
        <w:ind w:left="55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自行上传供应商认为需要上传的与本项目相关的其</w:t>
      </w:r>
      <w:r>
        <w:rPr>
          <w:rFonts w:hint="eastAsia" w:ascii="仿宋" w:hAnsi="仿宋" w:eastAsia="仿宋" w:cs="仿宋"/>
          <w:color w:val="auto"/>
          <w:spacing w:val="-4"/>
          <w:sz w:val="24"/>
          <w:szCs w:val="24"/>
          <w:highlight w:val="none"/>
        </w:rPr>
        <w:t>他资料。</w:t>
      </w:r>
    </w:p>
    <w:p w14:paraId="1AFD22A9">
      <w:pPr>
        <w:shd w:val="clear"/>
        <w:rPr>
          <w:color w:val="auto"/>
          <w:highlight w:val="none"/>
        </w:rPr>
      </w:pPr>
    </w:p>
    <w:sectPr>
      <w:footerReference r:id="rId16" w:type="default"/>
      <w:pgSz w:w="11906" w:h="16839"/>
      <w:pgMar w:top="1440" w:right="1080" w:bottom="1440" w:left="1080" w:header="864" w:footer="92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784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796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388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78F8">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8F9E">
    <w:pPr>
      <w:spacing w:line="210" w:lineRule="auto"/>
      <w:ind w:left="3631"/>
      <w:rPr>
        <w:rFonts w:ascii="宋体" w:hAnsi="宋体" w:eastAsia="宋体" w:cs="宋体"/>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BA79">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F84A">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9CA51">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713A">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4F71">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D04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38A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CBD5B"/>
    <w:multiLevelType w:val="singleLevel"/>
    <w:tmpl w:val="02CCBD5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Dk4ODI3YTI1NTUyODQwZDExNzUyOTBkZWVkY2IifQ=="/>
  </w:docVars>
  <w:rsids>
    <w:rsidRoot w:val="2B036DB4"/>
    <w:rsid w:val="01FB40D3"/>
    <w:rsid w:val="02405F8A"/>
    <w:rsid w:val="02B04EBD"/>
    <w:rsid w:val="05ED01D7"/>
    <w:rsid w:val="092D370C"/>
    <w:rsid w:val="0BA613CC"/>
    <w:rsid w:val="0C1B3CF0"/>
    <w:rsid w:val="0C2F5283"/>
    <w:rsid w:val="11EF50F5"/>
    <w:rsid w:val="178C3CF3"/>
    <w:rsid w:val="1A872550"/>
    <w:rsid w:val="1AC778D0"/>
    <w:rsid w:val="1AF44089"/>
    <w:rsid w:val="1AF5395E"/>
    <w:rsid w:val="2B036DB4"/>
    <w:rsid w:val="2FAB0637"/>
    <w:rsid w:val="2FD302BA"/>
    <w:rsid w:val="316A770B"/>
    <w:rsid w:val="32785148"/>
    <w:rsid w:val="38A04AB1"/>
    <w:rsid w:val="3B893F22"/>
    <w:rsid w:val="3F0F0BE2"/>
    <w:rsid w:val="3F32042D"/>
    <w:rsid w:val="450E7246"/>
    <w:rsid w:val="471D66D5"/>
    <w:rsid w:val="4DD20BA2"/>
    <w:rsid w:val="546A29F4"/>
    <w:rsid w:val="5889335C"/>
    <w:rsid w:val="5D3E2967"/>
    <w:rsid w:val="5E7C7B48"/>
    <w:rsid w:val="65DF6369"/>
    <w:rsid w:val="66660838"/>
    <w:rsid w:val="683D1D44"/>
    <w:rsid w:val="6A0E36C1"/>
    <w:rsid w:val="6ED30A35"/>
    <w:rsid w:val="72A11576"/>
    <w:rsid w:val="736E6F7E"/>
    <w:rsid w:val="74CA6436"/>
    <w:rsid w:val="77A613DD"/>
    <w:rsid w:val="78E51A91"/>
    <w:rsid w:val="7D95299B"/>
    <w:rsid w:val="7DCE7EE9"/>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6">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目录 71"/>
    <w:basedOn w:val="1"/>
    <w:next w:val="1"/>
    <w:qFormat/>
    <w:uiPriority w:val="0"/>
    <w:pPr>
      <w:ind w:left="2520"/>
    </w:pPr>
    <w:rPr>
      <w:rFonts w:ascii="Calibri"/>
    </w:rPr>
  </w:style>
  <w:style w:type="paragraph" w:styleId="7">
    <w:name w:val="Plain Text"/>
    <w:basedOn w:val="1"/>
    <w:qFormat/>
    <w:uiPriority w:val="99"/>
    <w:rPr>
      <w:rFonts w:ascii="宋体" w:hAnsi="Courier New"/>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2900</Words>
  <Characters>2989</Characters>
  <Lines>0</Lines>
  <Paragraphs>0</Paragraphs>
  <TotalTime>25</TotalTime>
  <ScaleCrop>false</ScaleCrop>
  <LinksUpToDate>false</LinksUpToDate>
  <CharactersWithSpaces>3059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2025-05-20T06:48:00Z</dcterms:created>
  <dc:creator>郑云晨</dc:creator>
  <cp:lastModifiedBy>郑云晨</cp:lastModifiedBy>
  <dcterms:modified xsi:type="dcterms:W3CDTF">2025-05-26T09:24:00Z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C271A2F8FBD24E079F3A803B741116E1_13</vt:lpwstr>
  </property>
  <property fmtid="{D5CDD505-2E9C-101B-9397-08002B2CF9AE}" pid="4" name="KSOTemplateDocerSaveRecord">
    <vt:lpwstr>eyJoZGlkIjoiODZiYjFkYWI0YzNmMzVjNTlkYWEwZjIxZjE3OTNjZWIiLCJ1c2VySWQiOiIxNTczNjA2NjI4In0=</vt:lpwstr>
  </property>
</Properties>
</file>